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34E" w:rsidRDefault="00A32507">
      <w:pPr>
        <w:rPr>
          <w:rFonts w:ascii="Times New Roman" w:hAnsi="Times New Roman" w:cs="Times New Roman"/>
          <w:b/>
          <w:sz w:val="28"/>
          <w:szCs w:val="28"/>
        </w:rPr>
      </w:pPr>
      <w:r>
        <w:rPr>
          <w:rFonts w:ascii="Times New Roman" w:hAnsi="Times New Roman" w:cs="Times New Roman"/>
          <w:b/>
          <w:sz w:val="28"/>
          <w:szCs w:val="28"/>
        </w:rPr>
        <w:t>附件</w:t>
      </w:r>
      <w:r>
        <w:rPr>
          <w:rFonts w:ascii="Times New Roman" w:hAnsi="Times New Roman" w:cs="Times New Roman" w:hint="eastAsia"/>
          <w:b/>
          <w:sz w:val="28"/>
          <w:szCs w:val="28"/>
        </w:rPr>
        <w:t>3</w:t>
      </w:r>
    </w:p>
    <w:p w:rsidR="00A8634E" w:rsidRDefault="00A8634E">
      <w:pPr>
        <w:spacing w:after="156" w:line="560" w:lineRule="exact"/>
        <w:jc w:val="center"/>
        <w:textAlignment w:val="baseline"/>
        <w:rPr>
          <w:rStyle w:val="NormalCharacter"/>
          <w:rFonts w:ascii="方正小标宋简体" w:eastAsia="方正小标宋简体" w:hAnsi="宋体"/>
          <w:b/>
          <w:sz w:val="44"/>
          <w:szCs w:val="44"/>
        </w:rPr>
      </w:pPr>
    </w:p>
    <w:p w:rsidR="00A8634E" w:rsidRDefault="00A8634E">
      <w:pPr>
        <w:spacing w:after="156" w:line="560" w:lineRule="exact"/>
        <w:jc w:val="center"/>
        <w:textAlignment w:val="baseline"/>
        <w:rPr>
          <w:rStyle w:val="NormalCharacter"/>
          <w:rFonts w:ascii="方正小标宋简体" w:eastAsia="方正小标宋简体" w:hAnsi="宋体" w:cs="Times New Roman"/>
          <w:bCs/>
          <w:sz w:val="44"/>
          <w:szCs w:val="44"/>
        </w:rPr>
      </w:pPr>
    </w:p>
    <w:p w:rsidR="00A8634E" w:rsidRDefault="00A8634E">
      <w:pPr>
        <w:spacing w:after="156" w:line="560" w:lineRule="exact"/>
        <w:jc w:val="center"/>
        <w:textAlignment w:val="baseline"/>
        <w:rPr>
          <w:rStyle w:val="NormalCharacter"/>
          <w:rFonts w:ascii="方正小标宋简体" w:eastAsia="方正小标宋简体" w:hAnsi="宋体" w:cs="Times New Roman"/>
          <w:bCs/>
          <w:sz w:val="44"/>
          <w:szCs w:val="44"/>
        </w:rPr>
      </w:pPr>
    </w:p>
    <w:p w:rsidR="00A8634E" w:rsidRDefault="00BA3F2F">
      <w:pPr>
        <w:spacing w:after="156" w:line="560" w:lineRule="exact"/>
        <w:jc w:val="center"/>
        <w:textAlignment w:val="baseline"/>
        <w:rPr>
          <w:rStyle w:val="NormalCharacter"/>
          <w:rFonts w:ascii="方正小标宋简体" w:eastAsia="方正小标宋简体" w:hAnsi="宋体" w:cs="Times New Roman"/>
          <w:bCs/>
          <w:sz w:val="44"/>
          <w:szCs w:val="44"/>
        </w:rPr>
      </w:pPr>
      <w:r w:rsidRPr="00BA3F2F">
        <w:rPr>
          <w:rStyle w:val="NormalCharacter"/>
          <w:rFonts w:ascii="方正小标宋简体" w:eastAsia="方正小标宋简体" w:hAnsi="宋体" w:cs="Times New Roman" w:hint="eastAsia"/>
          <w:bCs/>
          <w:sz w:val="44"/>
          <w:szCs w:val="44"/>
        </w:rPr>
        <w:t>学位授权点质量建设年度报告</w:t>
      </w:r>
    </w:p>
    <w:p w:rsidR="00A8634E" w:rsidRDefault="00A32507">
      <w:pPr>
        <w:spacing w:after="156" w:line="560" w:lineRule="exact"/>
        <w:jc w:val="center"/>
        <w:textAlignment w:val="baseline"/>
        <w:rPr>
          <w:rStyle w:val="NormalCharacter"/>
          <w:rFonts w:ascii="方正小标宋简体" w:eastAsia="方正小标宋简体" w:hAnsi="宋体" w:cs="Times New Roman"/>
          <w:bCs/>
          <w:sz w:val="44"/>
          <w:szCs w:val="44"/>
        </w:rPr>
      </w:pPr>
      <w:r>
        <w:rPr>
          <w:rStyle w:val="NormalCharacter"/>
          <w:rFonts w:ascii="方正小标宋简体" w:eastAsia="方正小标宋简体" w:hAnsi="宋体" w:cs="Times New Roman" w:hint="eastAsia"/>
          <w:bCs/>
          <w:sz w:val="44"/>
          <w:szCs w:val="44"/>
        </w:rPr>
        <w:t>（2020年）</w:t>
      </w:r>
    </w:p>
    <w:p w:rsidR="00A8634E" w:rsidRDefault="00A8634E">
      <w:pPr>
        <w:snapToGrid w:val="0"/>
        <w:jc w:val="center"/>
        <w:textAlignment w:val="baseline"/>
        <w:rPr>
          <w:rStyle w:val="NormalCharacter"/>
          <w:rFonts w:ascii="Times New Roman" w:eastAsia="宋体" w:hAnsi="Times New Roman"/>
          <w:b/>
          <w:sz w:val="48"/>
          <w:szCs w:val="20"/>
        </w:rPr>
      </w:pPr>
    </w:p>
    <w:p w:rsidR="00A8634E" w:rsidRDefault="00A8634E">
      <w:pPr>
        <w:snapToGrid w:val="0"/>
        <w:jc w:val="center"/>
        <w:textAlignment w:val="baseline"/>
        <w:rPr>
          <w:rStyle w:val="NormalCharacter"/>
          <w:rFonts w:ascii="Times New Roman" w:eastAsia="宋体" w:hAnsi="Times New Roman"/>
          <w:b/>
          <w:sz w:val="48"/>
          <w:szCs w:val="20"/>
        </w:rPr>
      </w:pPr>
    </w:p>
    <w:p w:rsidR="00A8634E" w:rsidRDefault="00A8634E">
      <w:pPr>
        <w:snapToGrid w:val="0"/>
        <w:spacing w:line="300" w:lineRule="auto"/>
        <w:jc w:val="center"/>
        <w:textAlignment w:val="baseline"/>
        <w:rPr>
          <w:rStyle w:val="NormalCharacter"/>
          <w:rFonts w:ascii="Times New Roman" w:eastAsia="宋体" w:hAnsi="Times New Roman"/>
          <w:b/>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A8634E">
        <w:trPr>
          <w:trHeight w:val="794"/>
          <w:jc w:val="center"/>
        </w:trPr>
        <w:tc>
          <w:tcPr>
            <w:tcW w:w="1507" w:type="dxa"/>
            <w:vMerge w:val="restart"/>
            <w:tcBorders>
              <w:top w:val="nil"/>
              <w:left w:val="nil"/>
              <w:bottom w:val="single" w:sz="4" w:space="0" w:color="000000"/>
              <w:right w:val="single" w:sz="4" w:space="0" w:color="000000"/>
            </w:tcBorders>
            <w:vAlign w:val="center"/>
          </w:tcPr>
          <w:p w:rsidR="00A8634E" w:rsidRDefault="00A32507">
            <w:pPr>
              <w:snapToGrid w:val="0"/>
              <w:spacing w:line="240" w:lineRule="atLeast"/>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高校</w:t>
            </w:r>
          </w:p>
          <w:p w:rsidR="00A8634E" w:rsidRDefault="00A32507">
            <w:pPr>
              <w:snapToGrid w:val="0"/>
              <w:spacing w:line="240" w:lineRule="atLeast"/>
              <w:jc w:val="center"/>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（公章）</w:t>
            </w:r>
          </w:p>
        </w:tc>
        <w:tc>
          <w:tcPr>
            <w:tcW w:w="3977" w:type="dxa"/>
            <w:tcBorders>
              <w:top w:val="nil"/>
              <w:left w:val="single" w:sz="4" w:space="0" w:color="000000"/>
              <w:bottom w:val="single" w:sz="4" w:space="0" w:color="000000"/>
              <w:right w:val="nil"/>
            </w:tcBorders>
            <w:vAlign w:val="center"/>
          </w:tcPr>
          <w:p w:rsidR="00A8634E" w:rsidRDefault="00A32507">
            <w:pPr>
              <w:snapToGrid w:val="0"/>
              <w:spacing w:line="30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名称：</w:t>
            </w:r>
            <w:r>
              <w:rPr>
                <w:rStyle w:val="NormalCharacter"/>
                <w:rFonts w:ascii="Times New Roman" w:eastAsia="宋体" w:hAnsi="Times New Roman" w:hint="eastAsia"/>
                <w:b/>
                <w:spacing w:val="-10"/>
                <w:szCs w:val="32"/>
              </w:rPr>
              <w:t>应用经济学</w:t>
            </w:r>
          </w:p>
        </w:tc>
      </w:tr>
      <w:tr w:rsidR="00A8634E">
        <w:trPr>
          <w:trHeight w:val="794"/>
          <w:jc w:val="center"/>
        </w:trPr>
        <w:tc>
          <w:tcPr>
            <w:tcW w:w="1507" w:type="dxa"/>
            <w:vMerge/>
            <w:tcBorders>
              <w:top w:val="single" w:sz="4" w:space="0" w:color="000000"/>
              <w:left w:val="nil"/>
              <w:bottom w:val="nil"/>
              <w:right w:val="single" w:sz="4" w:space="0" w:color="000000"/>
            </w:tcBorders>
            <w:vAlign w:val="center"/>
          </w:tcPr>
          <w:p w:rsidR="00A8634E" w:rsidRDefault="00A8634E">
            <w:pPr>
              <w:snapToGrid w:val="0"/>
              <w:spacing w:line="300" w:lineRule="auto"/>
              <w:jc w:val="center"/>
              <w:textAlignment w:val="baseline"/>
              <w:rPr>
                <w:rStyle w:val="NormalCharacter"/>
                <w:rFonts w:ascii="Times New Roman" w:eastAsia="宋体" w:hAnsi="Times New Roman"/>
                <w:b/>
                <w:spacing w:val="-10"/>
                <w:szCs w:val="32"/>
              </w:rPr>
            </w:pPr>
          </w:p>
        </w:tc>
        <w:tc>
          <w:tcPr>
            <w:tcW w:w="3977" w:type="dxa"/>
            <w:tcBorders>
              <w:top w:val="single" w:sz="4" w:space="0" w:color="000000"/>
              <w:left w:val="single" w:sz="4" w:space="0" w:color="000000"/>
              <w:bottom w:val="nil"/>
              <w:right w:val="nil"/>
            </w:tcBorders>
            <w:vAlign w:val="center"/>
          </w:tcPr>
          <w:p w:rsidR="00A8634E" w:rsidRDefault="00A32507">
            <w:pPr>
              <w:snapToGrid w:val="0"/>
              <w:spacing w:line="300" w:lineRule="auto"/>
              <w:textAlignment w:val="baseline"/>
              <w:rPr>
                <w:rStyle w:val="NormalCharacter"/>
                <w:rFonts w:ascii="Times New Roman" w:eastAsia="宋体" w:hAnsi="Times New Roman"/>
                <w:b/>
                <w:spacing w:val="-10"/>
                <w:szCs w:val="32"/>
              </w:rPr>
            </w:pPr>
            <w:r>
              <w:rPr>
                <w:rStyle w:val="NormalCharacter"/>
                <w:rFonts w:ascii="Times New Roman" w:eastAsia="宋体" w:hAnsi="Times New Roman"/>
                <w:b/>
                <w:spacing w:val="-10"/>
                <w:szCs w:val="32"/>
              </w:rPr>
              <w:t>代码：</w:t>
            </w:r>
            <w:r>
              <w:rPr>
                <w:rStyle w:val="NormalCharacter"/>
                <w:rFonts w:ascii="Times New Roman" w:eastAsia="宋体" w:hAnsi="Times New Roman" w:hint="eastAsia"/>
                <w:b/>
                <w:spacing w:val="-10"/>
                <w:szCs w:val="32"/>
              </w:rPr>
              <w:t>0</w:t>
            </w:r>
            <w:r>
              <w:rPr>
                <w:rStyle w:val="NormalCharacter"/>
                <w:rFonts w:ascii="Times New Roman" w:eastAsia="宋体" w:hAnsi="Times New Roman"/>
                <w:b/>
                <w:spacing w:val="-10"/>
                <w:szCs w:val="32"/>
              </w:rPr>
              <w:t>202</w:t>
            </w:r>
          </w:p>
        </w:tc>
      </w:tr>
    </w:tbl>
    <w:p w:rsidR="00A8634E" w:rsidRDefault="00A8634E">
      <w:pPr>
        <w:snapToGrid w:val="0"/>
        <w:spacing w:line="300" w:lineRule="auto"/>
        <w:jc w:val="center"/>
        <w:textAlignment w:val="baseline"/>
        <w:rPr>
          <w:rStyle w:val="NormalCharacter"/>
          <w:rFonts w:ascii="Times New Roman" w:eastAsia="宋体" w:hAnsi="Times New Roman"/>
          <w:b/>
          <w:sz w:val="48"/>
          <w:szCs w:val="20"/>
        </w:rPr>
      </w:pPr>
    </w:p>
    <w:p w:rsidR="00A8634E" w:rsidRDefault="00A8634E">
      <w:pPr>
        <w:spacing w:line="560" w:lineRule="exact"/>
        <w:jc w:val="center"/>
        <w:textAlignment w:val="baseline"/>
        <w:rPr>
          <w:rStyle w:val="NormalCharacter"/>
          <w:rFonts w:ascii="Times New Roman" w:eastAsia="楷体_GB2312" w:hAnsi="Times New Roman"/>
          <w:b/>
          <w:sz w:val="30"/>
          <w:szCs w:val="30"/>
        </w:rPr>
      </w:pPr>
    </w:p>
    <w:p w:rsidR="00A8634E" w:rsidRDefault="00A8634E">
      <w:pPr>
        <w:pStyle w:val="Heading3"/>
        <w:widowControl/>
        <w:rPr>
          <w:rStyle w:val="NormalCharacter"/>
          <w:rFonts w:ascii="黑体" w:eastAsia="黑体" w:hAnsi="黑体"/>
          <w:color w:val="auto"/>
          <w:szCs w:val="32"/>
        </w:rPr>
      </w:pPr>
    </w:p>
    <w:p w:rsidR="00A8634E" w:rsidRDefault="00A8634E">
      <w:pPr>
        <w:spacing w:line="560" w:lineRule="exact"/>
        <w:jc w:val="center"/>
        <w:textAlignment w:val="baseline"/>
        <w:rPr>
          <w:rStyle w:val="NormalCharacter"/>
          <w:rFonts w:ascii="Times New Roman" w:eastAsia="楷体_GB2312" w:hAnsi="Times New Roman"/>
          <w:b/>
          <w:sz w:val="30"/>
          <w:szCs w:val="30"/>
        </w:rPr>
      </w:pPr>
    </w:p>
    <w:p w:rsidR="00A8634E" w:rsidRDefault="00A8634E">
      <w:pPr>
        <w:spacing w:line="560" w:lineRule="exact"/>
        <w:jc w:val="center"/>
        <w:textAlignment w:val="baseline"/>
        <w:rPr>
          <w:rStyle w:val="NormalCharacter"/>
          <w:rFonts w:ascii="Times New Roman" w:eastAsia="楷体_GB2312" w:hAnsi="Times New Roman"/>
          <w:b/>
          <w:szCs w:val="32"/>
        </w:rPr>
      </w:pPr>
    </w:p>
    <w:p w:rsidR="00A8634E" w:rsidRDefault="00A8634E">
      <w:pPr>
        <w:spacing w:line="560" w:lineRule="exact"/>
        <w:jc w:val="center"/>
        <w:textAlignment w:val="baseline"/>
        <w:rPr>
          <w:rStyle w:val="NormalCharacter"/>
          <w:rFonts w:ascii="Times New Roman" w:eastAsia="楷体_GB2312" w:hAnsi="Times New Roman"/>
          <w:b/>
          <w:szCs w:val="32"/>
        </w:rPr>
      </w:pPr>
    </w:p>
    <w:p w:rsidR="00A8634E" w:rsidRDefault="00A32507">
      <w:pPr>
        <w:spacing w:line="560" w:lineRule="exact"/>
        <w:jc w:val="center"/>
        <w:textAlignment w:val="baseline"/>
        <w:rPr>
          <w:rStyle w:val="NormalCharacter"/>
          <w:rFonts w:ascii="黑体" w:eastAsia="黑体" w:hAnsi="黑体"/>
          <w:szCs w:val="32"/>
        </w:rPr>
        <w:sectPr w:rsidR="00A8634E">
          <w:footerReference w:type="default" r:id="rId9"/>
          <w:pgSz w:w="11906" w:h="16838"/>
          <w:pgMar w:top="1440" w:right="1800" w:bottom="1440" w:left="1800" w:header="851" w:footer="992" w:gutter="0"/>
          <w:pgNumType w:start="1"/>
          <w:cols w:space="425"/>
          <w:docGrid w:type="lines" w:linePitch="312"/>
        </w:sectPr>
      </w:pPr>
      <w:r>
        <w:rPr>
          <w:rStyle w:val="NormalCharacter"/>
          <w:rFonts w:ascii="Times New Roman" w:eastAsia="楷体_GB2312" w:hAnsi="Times New Roman"/>
          <w:b/>
          <w:szCs w:val="32"/>
        </w:rPr>
        <w:t>2021</w:t>
      </w:r>
      <w:r>
        <w:rPr>
          <w:rStyle w:val="NormalCharacter"/>
          <w:rFonts w:ascii="Times New Roman" w:eastAsia="楷体_GB2312" w:hAnsi="Times New Roman"/>
          <w:b/>
          <w:szCs w:val="32"/>
        </w:rPr>
        <w:t>年</w:t>
      </w:r>
      <w:r>
        <w:rPr>
          <w:rStyle w:val="NormalCharacter"/>
          <w:rFonts w:ascii="Times New Roman" w:eastAsia="楷体_GB2312" w:hAnsi="Times New Roman" w:hint="eastAsia"/>
          <w:b/>
          <w:szCs w:val="32"/>
        </w:rPr>
        <w:t>3</w:t>
      </w:r>
      <w:r>
        <w:rPr>
          <w:rStyle w:val="NormalCharacter"/>
          <w:rFonts w:ascii="Times New Roman" w:eastAsia="楷体_GB2312" w:hAnsi="Times New Roman"/>
          <w:b/>
          <w:szCs w:val="32"/>
        </w:rPr>
        <w:t>月</w:t>
      </w:r>
      <w:r>
        <w:rPr>
          <w:rStyle w:val="NormalCharacter"/>
          <w:rFonts w:ascii="Times New Roman" w:eastAsia="楷体_GB2312" w:hAnsi="Times New Roman"/>
          <w:b/>
          <w:szCs w:val="32"/>
        </w:rPr>
        <w:t xml:space="preserve"> 19 </w:t>
      </w:r>
      <w:r>
        <w:rPr>
          <w:rStyle w:val="NormalCharacter"/>
          <w:rFonts w:ascii="Times New Roman" w:eastAsia="楷体_GB2312" w:hAnsi="Times New Roman"/>
          <w:b/>
          <w:szCs w:val="32"/>
        </w:rPr>
        <w:t>日</w:t>
      </w:r>
    </w:p>
    <w:p w:rsidR="00A8634E" w:rsidRDefault="00A32507">
      <w:pPr>
        <w:pStyle w:val="3"/>
        <w:ind w:firstLine="480"/>
        <w:rPr>
          <w:rFonts w:ascii="仿宋" w:eastAsia="仿宋" w:hAnsi="仿宋"/>
          <w:sz w:val="24"/>
          <w:szCs w:val="24"/>
        </w:rPr>
      </w:pPr>
      <w:r>
        <w:rPr>
          <w:rFonts w:ascii="仿宋" w:eastAsia="仿宋" w:hAnsi="仿宋" w:hint="eastAsia"/>
          <w:sz w:val="24"/>
          <w:szCs w:val="24"/>
        </w:rPr>
        <w:lastRenderedPageBreak/>
        <w:t>暨南大学创立于1906年，是国务院侨务办公室、教育部、广东省三方共建的华侨最高学府，国家“211工程”大学。1918年应南洋华侨需要开设商科。1980 年由教育部批准成立经济学院，是全国高校最早成立的经济学院之一和全国第一批经济学硕士授权单位。1986年获批产业经济学博士点、1998年获批金融学博士点、1999年经批准设立应用经济学博士后流动站、2003年获批应用经济学一级学科博士点，均为华南地区高校之首获。产业经济学、金融学为国家重点学科，是全国应用经济学科为数不多的拥有两个以上国家二级重点学科的单位。2013 年被评为广东省一级攀峰重点学科。</w:t>
      </w:r>
    </w:p>
    <w:p w:rsidR="00A8634E" w:rsidRDefault="00A32507">
      <w:pPr>
        <w:pStyle w:val="3"/>
        <w:ind w:firstLine="480"/>
        <w:rPr>
          <w:rFonts w:ascii="仿宋" w:eastAsia="仿宋" w:hAnsi="仿宋"/>
          <w:sz w:val="24"/>
          <w:szCs w:val="24"/>
        </w:rPr>
      </w:pPr>
      <w:r>
        <w:rPr>
          <w:rFonts w:ascii="仿宋" w:eastAsia="仿宋" w:hAnsi="仿宋" w:hint="eastAsia"/>
          <w:sz w:val="24"/>
          <w:szCs w:val="24"/>
        </w:rPr>
        <w:t>近5年，学科年均优质生源率为65%，考录比约为12：1。学科致力于培养符合新时代中国特色社会主义建设要求，具有坚定理想信念和家国情怀、练就过硬本领、国际视野、突出创新能力的经济学高端人才。</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学科在2020年软科中国最好学科排名中位列第14名（前 6%）；在荷兰蒂尔堡大学“全球经济学研究机构排名”位列全国第11名，亚洲第28名，为国内进步最快的高校之一，在全国经济学界具有重要地位和影响。</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学科覆盖产业经济学、金融学、劳动经济学、区域经济、绿色经济与可持续发展等方向。其中，产业经济学、金融学为国家重点学科。高质量学术交流频繁，先后成功举办第十五届金融学年会、第十七届中国青年经济学者论坛、世界计量经济学会中国年会等高水平学术会议；5年累计举办学术报告600余场，全球排名前50的高校均有学者到访本学科；国际合作平台高端，与诺奖得主赫克曼教授合作建立“人口流动与劳动经济学科创新引智基地”；与芝加哥大学共建“芝加哥-暨南人类发展研究联合计划”，展开全方位合作；将社会调查作为学术研究的重要抓手，设立社会调查中心，开展大型社会调查项目，覆盖中国城乡人口流动调查、中国家庭就业调查、广东千村调查等，为政策制定及学术研究提供高质量的微观数据库。</w:t>
      </w:r>
    </w:p>
    <w:p w:rsidR="00A8634E" w:rsidRDefault="00A32507">
      <w:pPr>
        <w:spacing w:afterLines="50" w:after="156" w:line="560" w:lineRule="exact"/>
        <w:ind w:firstLineChars="200" w:firstLine="640"/>
        <w:rPr>
          <w:rFonts w:ascii="黑体" w:eastAsia="黑体" w:hAnsi="黑体"/>
        </w:rPr>
      </w:pPr>
      <w:r>
        <w:rPr>
          <w:rFonts w:ascii="黑体" w:eastAsia="黑体" w:hAnsi="黑体" w:hint="eastAsia"/>
        </w:rPr>
        <w:t>一、培养目标与学位标准</w:t>
      </w:r>
    </w:p>
    <w:p w:rsidR="00A8634E" w:rsidRDefault="00A32507">
      <w:pPr>
        <w:pStyle w:val="3"/>
        <w:ind w:firstLine="480"/>
        <w:rPr>
          <w:rFonts w:ascii="仿宋" w:eastAsia="仿宋" w:hAnsi="仿宋"/>
          <w:sz w:val="24"/>
          <w:szCs w:val="24"/>
        </w:rPr>
      </w:pPr>
      <w:r>
        <w:rPr>
          <w:rFonts w:ascii="仿宋" w:eastAsia="仿宋" w:hAnsi="仿宋" w:hint="eastAsia"/>
          <w:sz w:val="24"/>
          <w:szCs w:val="24"/>
        </w:rPr>
        <w:t>本学位点培养具有较高政治思想素质、具有高度社会责任感和较强创新能力、具备国际研究视野的高水平经济学人才，包括具有扎实的经济学专业理论知识、掌握完整的经济学理论体系、掌握现代经济学分析工具、能够追踪学术前沿并独立开展学术研究的学术型人才；具有较强社会责任感、较高专业素质、政治素养、科学文化素质的高素质企业人才。研究生毕业后能胜任高等院校、科研院所、党政机关、企事业单位等工作岗位。</w:t>
      </w:r>
    </w:p>
    <w:p w:rsidR="00A8634E" w:rsidRDefault="00A32507">
      <w:pPr>
        <w:pStyle w:val="3"/>
        <w:ind w:firstLine="480"/>
        <w:rPr>
          <w:rFonts w:ascii="仿宋" w:eastAsia="仿宋" w:hAnsi="仿宋"/>
          <w:sz w:val="24"/>
          <w:szCs w:val="24"/>
        </w:rPr>
      </w:pPr>
      <w:r>
        <w:rPr>
          <w:rFonts w:ascii="仿宋" w:eastAsia="仿宋" w:hAnsi="仿宋" w:hint="eastAsia"/>
          <w:sz w:val="24"/>
          <w:szCs w:val="24"/>
        </w:rPr>
        <w:t xml:space="preserve">1.博士学位：具备坚实宽广的经济学科理论基础和专业知识，具备宽广的国际视野，系统掌握相关领域专业文献；跟踪学术前沿，深入了解国内外相关领域最新动态，能够创造性地提出新观点、理论、方法或创新性地利用最新研究成果解决重要的实际问题；具备较强的国际交流能力，能够独立从事应用经济学的教学工作；具备在相关领域独立从事学术研究的能力。 </w:t>
      </w:r>
    </w:p>
    <w:p w:rsidR="00A8634E" w:rsidRDefault="00A32507">
      <w:pPr>
        <w:pStyle w:val="3"/>
        <w:ind w:firstLine="480"/>
        <w:rPr>
          <w:rFonts w:ascii="仿宋" w:eastAsia="仿宋" w:hAnsi="仿宋"/>
          <w:sz w:val="24"/>
          <w:szCs w:val="24"/>
        </w:rPr>
      </w:pPr>
      <w:r>
        <w:rPr>
          <w:rFonts w:ascii="仿宋" w:eastAsia="仿宋" w:hAnsi="仿宋" w:hint="eastAsia"/>
          <w:sz w:val="24"/>
          <w:szCs w:val="24"/>
        </w:rPr>
        <w:t>2.硕士学位：具备全面、扎实的经济学理论基础与专业知识，规范的学术训练，掌握本专业领域的基础研究成果，具备学术研究的基本能力；能够针对现实经济问题进行调查研究、设计方案、构建模型实证检验，并具有继续学习、创新、提高的基础和能力；较为熟练地掌握一门外语，能熟练地阅读本专业的文献资料，具有基本的国际交流能力；思维严谨，具有发现问题、提出问题和解决问题的基本能力，能从事中高层次实务工作。</w:t>
      </w:r>
    </w:p>
    <w:p w:rsidR="00A8634E" w:rsidRDefault="00A32507">
      <w:pPr>
        <w:spacing w:afterLines="50" w:after="156" w:line="560" w:lineRule="exact"/>
        <w:ind w:firstLineChars="200" w:firstLine="640"/>
        <w:rPr>
          <w:rFonts w:ascii="黑体" w:eastAsia="黑体" w:hAnsi="黑体"/>
        </w:rPr>
      </w:pPr>
      <w:r>
        <w:rPr>
          <w:rFonts w:ascii="黑体" w:eastAsia="黑体" w:hAnsi="黑体" w:hint="eastAsia"/>
        </w:rPr>
        <w:t>二、基本条件</w:t>
      </w:r>
    </w:p>
    <w:p w:rsidR="00A8634E" w:rsidRDefault="00A32507">
      <w:pPr>
        <w:pStyle w:val="3"/>
        <w:ind w:firstLine="480"/>
        <w:rPr>
          <w:sz w:val="24"/>
          <w:szCs w:val="24"/>
        </w:rPr>
      </w:pPr>
      <w:r>
        <w:rPr>
          <w:rFonts w:hint="eastAsia"/>
          <w:sz w:val="24"/>
          <w:szCs w:val="24"/>
        </w:rPr>
        <w:t>（一）师资队伍</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学位点拥有专职教师128人，其中国家重大人才工程领军人才、国家特支计划 等省部级以上人才40余人次；博士生导师45人，硕士生导师57人；有境外学历或进修经历教师占比71.9%。</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各培养方向带头人与学术骨干如下：</w:t>
      </w:r>
    </w:p>
    <w:p w:rsidR="00A8634E" w:rsidRDefault="00A32507">
      <w:pPr>
        <w:pStyle w:val="3"/>
        <w:ind w:firstLine="480"/>
        <w:rPr>
          <w:rFonts w:ascii="仿宋" w:eastAsia="仿宋" w:hAnsi="仿宋"/>
          <w:sz w:val="24"/>
          <w:szCs w:val="24"/>
        </w:rPr>
      </w:pPr>
      <w:r>
        <w:rPr>
          <w:rFonts w:ascii="仿宋" w:eastAsia="仿宋" w:hAnsi="仿宋" w:hint="eastAsia"/>
          <w:sz w:val="24"/>
          <w:szCs w:val="24"/>
        </w:rPr>
        <w:t>1.金融学</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刘少波：中国金融学年会理事会理事；广东经济学会副会长，广东第三产业研究会副会长，广东学位委员会委员，广东政府发展研究中心特约研究员。广东省教学名师，全国金融专业学位研究生教指委委员，主持国家社科重点项目等国家级项目多项，获教育部人文社科优秀成果三等奖等省部级成果奖7项。</w:t>
      </w:r>
    </w:p>
    <w:p w:rsidR="00A8634E" w:rsidRDefault="00A32507">
      <w:pPr>
        <w:pStyle w:val="3"/>
        <w:ind w:firstLine="480"/>
        <w:rPr>
          <w:rFonts w:ascii="仿宋" w:eastAsia="仿宋" w:hAnsi="仿宋"/>
          <w:sz w:val="24"/>
          <w:szCs w:val="24"/>
        </w:rPr>
      </w:pPr>
      <w:r>
        <w:rPr>
          <w:rFonts w:ascii="仿宋" w:eastAsia="仿宋" w:hAnsi="仿宋" w:hint="eastAsia"/>
          <w:sz w:val="24"/>
          <w:szCs w:val="24"/>
        </w:rPr>
        <w:t>蒋海：全国金融学类教学指导委员会委员；全国博弈论与实验经济学研究会副会长。主持国家自然科学基金等国家和省部级研究课题10项，获得广东省哲学社会科学优秀成果奖等十多项省部级奖励。</w:t>
      </w:r>
    </w:p>
    <w:p w:rsidR="00A8634E" w:rsidRDefault="00A32507">
      <w:pPr>
        <w:pStyle w:val="3"/>
        <w:ind w:firstLine="480"/>
        <w:rPr>
          <w:rFonts w:ascii="仿宋" w:eastAsia="仿宋" w:hAnsi="仿宋"/>
          <w:sz w:val="24"/>
          <w:szCs w:val="24"/>
        </w:rPr>
      </w:pPr>
      <w:r>
        <w:rPr>
          <w:rFonts w:ascii="仿宋" w:eastAsia="仿宋" w:hAnsi="仿宋" w:hint="eastAsia"/>
          <w:sz w:val="24"/>
          <w:szCs w:val="24"/>
        </w:rPr>
        <w:t>2.产业经济学</w:t>
      </w:r>
    </w:p>
    <w:p w:rsidR="00A8634E" w:rsidRDefault="00A32507">
      <w:pPr>
        <w:pStyle w:val="3"/>
        <w:ind w:firstLine="480"/>
        <w:rPr>
          <w:rFonts w:ascii="仿宋" w:eastAsia="仿宋" w:hAnsi="仿宋"/>
          <w:sz w:val="24"/>
          <w:szCs w:val="24"/>
        </w:rPr>
      </w:pPr>
      <w:r>
        <w:rPr>
          <w:rFonts w:ascii="仿宋" w:eastAsia="仿宋" w:hAnsi="仿宋" w:hint="eastAsia"/>
          <w:sz w:val="24"/>
          <w:szCs w:val="24"/>
        </w:rPr>
        <w:t>胡军：暨南大学原校长，中国工业经济学会副会长，中国企业管理研究会副理事长，2002年获国务院特殊贡献专家津贴。调研报告“广东工业产业竞争力研究”获2005年广东省人文社会科学成果奖一等奖，教育部第四届中国高校人文社会科学研究优秀成果二等奖。著作《中国区域协调发展机制体系研究》获2017年广东省哲学社会科学优秀成果一等奖。</w:t>
      </w:r>
    </w:p>
    <w:p w:rsidR="00A8634E" w:rsidRDefault="00A32507">
      <w:pPr>
        <w:pStyle w:val="3"/>
        <w:ind w:firstLine="480"/>
        <w:rPr>
          <w:rFonts w:ascii="仿宋" w:eastAsia="仿宋" w:hAnsi="仿宋"/>
          <w:sz w:val="24"/>
          <w:szCs w:val="24"/>
        </w:rPr>
      </w:pPr>
      <w:r>
        <w:rPr>
          <w:rFonts w:ascii="仿宋" w:eastAsia="仿宋" w:hAnsi="仿宋" w:hint="eastAsia"/>
          <w:sz w:val="24"/>
          <w:szCs w:val="24"/>
        </w:rPr>
        <w:t>顾乃华：中国工业经济学会副理事长，中国工业经济学会竞争政策专业委员会委员。国家社科重大项目首席专家，省级人才计划入选者，广东省文科重点实验室主任，主持各类项目60多项。</w:t>
      </w:r>
    </w:p>
    <w:p w:rsidR="00A8634E" w:rsidRDefault="00A32507">
      <w:pPr>
        <w:pStyle w:val="3"/>
        <w:ind w:firstLine="480"/>
        <w:rPr>
          <w:rFonts w:ascii="仿宋" w:eastAsia="仿宋" w:hAnsi="仿宋"/>
          <w:sz w:val="24"/>
          <w:szCs w:val="24"/>
        </w:rPr>
      </w:pPr>
      <w:r>
        <w:rPr>
          <w:rFonts w:ascii="仿宋" w:eastAsia="仿宋" w:hAnsi="仿宋" w:hint="eastAsia"/>
          <w:sz w:val="24"/>
          <w:szCs w:val="24"/>
        </w:rPr>
        <w:t>陶锋：中国工业经济学会副理事长，广东省体制改革研究会副秘书长，国家社科重大、重点项目首席专家，在《经济研究》等期刊发表论文多篇，获广东省哲学社会科学优秀成果一等奖。</w:t>
      </w:r>
    </w:p>
    <w:p w:rsidR="00A8634E" w:rsidRDefault="00A32507">
      <w:pPr>
        <w:pStyle w:val="3"/>
        <w:ind w:firstLine="480"/>
        <w:rPr>
          <w:rFonts w:ascii="仿宋" w:eastAsia="仿宋" w:hAnsi="仿宋"/>
          <w:sz w:val="24"/>
          <w:szCs w:val="24"/>
        </w:rPr>
      </w:pPr>
      <w:r>
        <w:rPr>
          <w:rFonts w:ascii="仿宋" w:eastAsia="仿宋" w:hAnsi="仿宋" w:hint="eastAsia"/>
          <w:sz w:val="24"/>
          <w:szCs w:val="24"/>
        </w:rPr>
        <w:t>3.劳动经济学</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冯帅章：</w:t>
      </w:r>
      <w:r>
        <w:rPr>
          <w:rFonts w:ascii="仿宋" w:eastAsia="仿宋" w:hAnsi="仿宋" w:hint="eastAsia"/>
          <w:i/>
          <w:iCs/>
          <w:sz w:val="24"/>
          <w:szCs w:val="24"/>
        </w:rPr>
        <w:t>Journal of Population Economics</w:t>
      </w:r>
      <w:r>
        <w:rPr>
          <w:rFonts w:ascii="仿宋" w:eastAsia="仿宋" w:hAnsi="仿宋" w:hint="eastAsia"/>
          <w:sz w:val="24"/>
          <w:szCs w:val="24"/>
        </w:rPr>
        <w:t xml:space="preserve">共同主编，世界计量经济学会亚洲委员会成员。国家级重大人才工程领军人才、教育部重大人才工程领军人才、国家杰出青年科学基金获得者。共发表超过20篇匿名评审国际学术期刊论文，包括经济学领域排名最高的《美国经济评论》，科学界权威刊物《美国科学院院刊》，以及国内经济学领域权威杂志《经济研究》《经济学季刊》等。 </w:t>
      </w:r>
    </w:p>
    <w:p w:rsidR="00A8634E" w:rsidRDefault="00A32507">
      <w:pPr>
        <w:pStyle w:val="3"/>
        <w:ind w:firstLine="480"/>
        <w:rPr>
          <w:rFonts w:ascii="仿宋" w:eastAsia="仿宋" w:hAnsi="仿宋"/>
          <w:sz w:val="24"/>
          <w:szCs w:val="24"/>
        </w:rPr>
      </w:pPr>
      <w:r>
        <w:rPr>
          <w:rFonts w:ascii="仿宋" w:eastAsia="仿宋" w:hAnsi="仿宋" w:hint="eastAsia"/>
          <w:sz w:val="24"/>
          <w:szCs w:val="24"/>
        </w:rPr>
        <w:t>王春超： 广东经济学会副会长；中国劳动学会劳动科学教育分会常务理事。国家级人才计划入选者，国家社科重大项目首席专家，获教育部人文社科优秀成果奖二等奖、全国青年教师教学竞赛二等奖等。</w:t>
      </w:r>
    </w:p>
    <w:p w:rsidR="00A8634E" w:rsidRDefault="00A32507">
      <w:pPr>
        <w:pStyle w:val="3"/>
        <w:ind w:firstLine="480"/>
        <w:rPr>
          <w:rFonts w:ascii="仿宋" w:eastAsia="仿宋" w:hAnsi="仿宋"/>
          <w:sz w:val="24"/>
          <w:szCs w:val="24"/>
        </w:rPr>
      </w:pPr>
      <w:r>
        <w:rPr>
          <w:rFonts w:ascii="仿宋" w:eastAsia="仿宋" w:hAnsi="仿宋" w:hint="eastAsia"/>
          <w:sz w:val="24"/>
          <w:szCs w:val="24"/>
        </w:rPr>
        <w:t>4.区域经济学</w:t>
      </w:r>
    </w:p>
    <w:p w:rsidR="00A8634E" w:rsidRDefault="00A32507">
      <w:pPr>
        <w:pStyle w:val="3"/>
        <w:ind w:firstLine="480"/>
        <w:rPr>
          <w:rFonts w:ascii="仿宋" w:eastAsia="仿宋" w:hAnsi="仿宋"/>
          <w:sz w:val="24"/>
          <w:szCs w:val="24"/>
        </w:rPr>
      </w:pPr>
      <w:r>
        <w:rPr>
          <w:rFonts w:ascii="仿宋" w:eastAsia="仿宋" w:hAnsi="仿宋" w:hint="eastAsia"/>
          <w:sz w:val="24"/>
          <w:szCs w:val="24"/>
        </w:rPr>
        <w:t>覃成林：全国经济地理研究会顾问，中国区域经济学会常务理事及学科建设委员会副主任。主持国家社科基金重大项目2项，获教育部人文社科优秀成果奖三等奖，在《中国社会科学》《成果要报》等发表论文多篇。</w:t>
      </w:r>
    </w:p>
    <w:p w:rsidR="00A8634E" w:rsidRDefault="00A32507">
      <w:pPr>
        <w:pStyle w:val="3"/>
        <w:ind w:firstLine="480"/>
        <w:rPr>
          <w:rFonts w:ascii="仿宋" w:eastAsia="仿宋" w:hAnsi="仿宋"/>
          <w:sz w:val="24"/>
          <w:szCs w:val="24"/>
        </w:rPr>
      </w:pPr>
      <w:r>
        <w:rPr>
          <w:rFonts w:ascii="仿宋" w:eastAsia="仿宋" w:hAnsi="仿宋" w:hint="eastAsia"/>
          <w:sz w:val="24"/>
          <w:szCs w:val="24"/>
        </w:rPr>
        <w:t>武文杰：国际中国规划协会全球联席理事长（外联委员会主席、欧洲区主席），世界银行项目咨询专家。曾任英国高校终身副教授，主持国家社科基金重大项目、国家自科基金3项，在国际一流期刊发表论文30余篇。</w:t>
      </w:r>
    </w:p>
    <w:p w:rsidR="00A8634E" w:rsidRDefault="00A32507">
      <w:pPr>
        <w:pStyle w:val="3"/>
        <w:ind w:firstLine="480"/>
        <w:rPr>
          <w:rFonts w:ascii="仿宋" w:eastAsia="仿宋" w:hAnsi="仿宋"/>
          <w:sz w:val="24"/>
          <w:szCs w:val="24"/>
        </w:rPr>
      </w:pPr>
      <w:r>
        <w:rPr>
          <w:rFonts w:ascii="仿宋" w:eastAsia="仿宋" w:hAnsi="仿宋" w:hint="eastAsia"/>
          <w:sz w:val="24"/>
          <w:szCs w:val="24"/>
        </w:rPr>
        <w:t>5.绿色经济与可持续发展</w:t>
      </w:r>
    </w:p>
    <w:p w:rsidR="00A8634E" w:rsidRDefault="00A32507">
      <w:pPr>
        <w:pStyle w:val="3"/>
        <w:ind w:firstLine="480"/>
        <w:rPr>
          <w:rFonts w:ascii="仿宋" w:eastAsia="仿宋" w:hAnsi="仿宋"/>
          <w:sz w:val="24"/>
          <w:szCs w:val="24"/>
        </w:rPr>
      </w:pPr>
      <w:r>
        <w:rPr>
          <w:rFonts w:ascii="仿宋" w:eastAsia="仿宋" w:hAnsi="仿宋" w:hint="eastAsia"/>
          <w:sz w:val="24"/>
          <w:szCs w:val="24"/>
        </w:rPr>
        <w:t>王兵：暨南大学副校长，中国教育发展战略学会人才发展专业委员会常务理事；广东省本科高校经济学类专业教学指导委员会副主任委员。教育部重大攻关项目首席专家，荣获全国青年教师教学竞赛一等奖，在《经济研究》等权威期刊发表论文60余篇。</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张宁：中国“双法”研究会能源经济与管理研究分会常务理事，</w:t>
      </w:r>
      <w:r>
        <w:rPr>
          <w:rFonts w:ascii="仿宋" w:eastAsia="仿宋" w:hAnsi="仿宋" w:hint="eastAsia"/>
          <w:i/>
          <w:iCs/>
          <w:sz w:val="24"/>
          <w:szCs w:val="24"/>
        </w:rPr>
        <w:t>Social Science Journal</w:t>
      </w:r>
      <w:r>
        <w:rPr>
          <w:rFonts w:ascii="仿宋" w:eastAsia="仿宋" w:hAnsi="仿宋" w:hint="eastAsia"/>
          <w:sz w:val="24"/>
          <w:szCs w:val="24"/>
        </w:rPr>
        <w:t xml:space="preserve"> (SSCI )副主编。国家优秀青年基金获得者，在</w:t>
      </w:r>
      <w:r>
        <w:rPr>
          <w:rFonts w:ascii="仿宋" w:eastAsia="仿宋" w:hAnsi="仿宋" w:hint="eastAsia"/>
          <w:i/>
          <w:iCs/>
          <w:sz w:val="24"/>
          <w:szCs w:val="24"/>
        </w:rPr>
        <w:t>Science</w:t>
      </w:r>
      <w:r>
        <w:rPr>
          <w:rFonts w:ascii="仿宋" w:eastAsia="仿宋" w:hAnsi="仿宋" w:hint="eastAsia"/>
          <w:sz w:val="24"/>
          <w:szCs w:val="24"/>
        </w:rPr>
        <w:t>、《经济研究》等期刊发表论文100余篇，入选科睿唯安2020年全球高被引科学家。</w:t>
      </w:r>
    </w:p>
    <w:p w:rsidR="00A8634E" w:rsidRDefault="00A32507">
      <w:pPr>
        <w:pStyle w:val="3"/>
        <w:ind w:firstLine="480"/>
        <w:rPr>
          <w:rFonts w:ascii="仿宋" w:eastAsia="仿宋" w:hAnsi="仿宋"/>
          <w:sz w:val="24"/>
          <w:szCs w:val="24"/>
        </w:rPr>
      </w:pPr>
      <w:r>
        <w:rPr>
          <w:rFonts w:ascii="仿宋" w:eastAsia="仿宋" w:hAnsi="仿宋" w:hint="eastAsia"/>
          <w:sz w:val="24"/>
          <w:szCs w:val="24"/>
        </w:rPr>
        <w:t>何凌云：中国优选法统筹法与经济数学研究会理事，</w:t>
      </w:r>
      <w:r>
        <w:rPr>
          <w:rFonts w:ascii="仿宋" w:eastAsia="仿宋" w:hAnsi="仿宋" w:hint="eastAsia"/>
          <w:i/>
          <w:iCs/>
          <w:sz w:val="24"/>
          <w:szCs w:val="24"/>
        </w:rPr>
        <w:t>Computational Economics</w:t>
      </w:r>
      <w:r>
        <w:rPr>
          <w:rFonts w:ascii="仿宋" w:eastAsia="仿宋" w:hAnsi="仿宋" w:hint="eastAsia"/>
          <w:sz w:val="24"/>
          <w:szCs w:val="24"/>
        </w:rPr>
        <w:t xml:space="preserve"> (SSCI,SCI) 副主编，主持国家社科重大、重点项目各1项，国家自然科学基金4 项，发表高水平论文100余篇。</w:t>
      </w:r>
    </w:p>
    <w:p w:rsidR="00A8634E" w:rsidRDefault="00A32507">
      <w:pPr>
        <w:spacing w:afterLines="50" w:after="156" w:line="560" w:lineRule="exact"/>
        <w:ind w:firstLineChars="200" w:firstLine="480"/>
        <w:rPr>
          <w:rFonts w:ascii="黑体" w:eastAsia="黑体" w:hAnsi="黑体"/>
          <w:sz w:val="24"/>
        </w:rPr>
      </w:pPr>
      <w:r>
        <w:rPr>
          <w:rFonts w:ascii="黑体" w:eastAsia="黑体" w:hAnsi="黑体" w:hint="eastAsia"/>
          <w:sz w:val="24"/>
        </w:rPr>
        <w:t>（二）科学研究</w:t>
      </w:r>
    </w:p>
    <w:p w:rsidR="00A8634E" w:rsidRDefault="00A32507">
      <w:pPr>
        <w:pStyle w:val="3"/>
        <w:ind w:firstLine="480"/>
        <w:rPr>
          <w:rFonts w:ascii="仿宋" w:eastAsia="仿宋" w:hAnsi="仿宋"/>
          <w:sz w:val="24"/>
          <w:szCs w:val="24"/>
        </w:rPr>
      </w:pPr>
      <w:r>
        <w:rPr>
          <w:rFonts w:ascii="仿宋" w:eastAsia="仿宋" w:hAnsi="仿宋" w:hint="eastAsia"/>
          <w:sz w:val="24"/>
          <w:szCs w:val="24"/>
        </w:rPr>
        <w:t>本学科科研实力雄厚，近年来围绕国家和地方经济社会发展的重大战略需求及前沿热点问题，产出了一批有影响力的学术成果，获批了一批高层次科研项目。</w:t>
      </w:r>
    </w:p>
    <w:p w:rsidR="00A8634E" w:rsidRDefault="00A32507">
      <w:pPr>
        <w:pStyle w:val="TableParagraph"/>
        <w:spacing w:line="600" w:lineRule="exact"/>
        <w:ind w:left="51" w:firstLineChars="200" w:firstLine="480"/>
        <w:jc w:val="both"/>
        <w:rPr>
          <w:rFonts w:ascii="仿宋" w:eastAsia="仿宋" w:hAnsi="仿宋" w:cs="宋体"/>
          <w:sz w:val="24"/>
          <w:szCs w:val="24"/>
          <w:lang w:eastAsia="zh-CN"/>
        </w:rPr>
      </w:pPr>
      <w:r>
        <w:rPr>
          <w:rFonts w:ascii="仿宋" w:eastAsia="仿宋" w:hAnsi="仿宋" w:hint="eastAsia"/>
          <w:sz w:val="24"/>
          <w:szCs w:val="24"/>
          <w:lang w:eastAsia="zh-CN"/>
        </w:rPr>
        <w:t>2020年，学科教师发表A类论文70余篇。学科教师在国际顶尖期刊论文发表方面取得标志性突破，合作论文《</w:t>
      </w:r>
      <w:r>
        <w:rPr>
          <w:rFonts w:ascii="仿宋" w:eastAsia="仿宋" w:hAnsi="仿宋"/>
          <w:sz w:val="24"/>
          <w:szCs w:val="24"/>
          <w:lang w:eastAsia="zh-CN"/>
        </w:rPr>
        <w:t>Arrival of Young Talent: The Sen d-Down Movement and Rural Educati on in China</w:t>
      </w:r>
      <w:r>
        <w:rPr>
          <w:rFonts w:ascii="仿宋" w:eastAsia="仿宋" w:hAnsi="仿宋" w:hint="eastAsia"/>
          <w:sz w:val="24"/>
          <w:szCs w:val="24"/>
          <w:lang w:eastAsia="zh-CN"/>
        </w:rPr>
        <w:t>》</w:t>
      </w:r>
      <w:r>
        <w:rPr>
          <w:rFonts w:ascii="仿宋" w:eastAsia="仿宋" w:hAnsi="仿宋" w:cs="宋体"/>
          <w:sz w:val="24"/>
          <w:szCs w:val="24"/>
          <w:lang w:eastAsia="zh-CN"/>
        </w:rPr>
        <w:t>利用准自然实验方法考察了外生历史事件对</w:t>
      </w:r>
      <w:r>
        <w:rPr>
          <w:rFonts w:ascii="仿宋" w:eastAsia="仿宋" w:hAnsi="仿宋" w:cs="宋体" w:hint="eastAsia"/>
          <w:sz w:val="24"/>
          <w:szCs w:val="24"/>
          <w:lang w:eastAsia="zh-CN"/>
        </w:rPr>
        <w:t>我国</w:t>
      </w:r>
      <w:r>
        <w:rPr>
          <w:rFonts w:ascii="仿宋" w:eastAsia="仿宋" w:hAnsi="仿宋" w:cs="宋体"/>
          <w:sz w:val="24"/>
          <w:szCs w:val="24"/>
          <w:lang w:eastAsia="zh-CN"/>
        </w:rPr>
        <w:t>农村人力资本积累的长期影响</w:t>
      </w:r>
      <w:r>
        <w:rPr>
          <w:rFonts w:ascii="仿宋" w:eastAsia="仿宋" w:hAnsi="仿宋" w:cs="宋体"/>
          <w:spacing w:val="-70"/>
          <w:sz w:val="24"/>
          <w:szCs w:val="24"/>
          <w:lang w:eastAsia="zh-CN"/>
        </w:rPr>
        <w:t>，</w:t>
      </w:r>
      <w:r>
        <w:rPr>
          <w:rFonts w:ascii="仿宋" w:eastAsia="仿宋" w:hAnsi="仿宋" w:cs="宋体"/>
          <w:sz w:val="24"/>
          <w:szCs w:val="24"/>
          <w:lang w:eastAsia="zh-CN"/>
        </w:rPr>
        <w:t>发表于世界公认的最具有学术声望的顶级期刊</w:t>
      </w:r>
      <w:r>
        <w:rPr>
          <w:rFonts w:ascii="仿宋" w:eastAsia="仿宋" w:hAnsi="仿宋"/>
          <w:sz w:val="24"/>
          <w:szCs w:val="24"/>
          <w:lang w:eastAsia="zh-CN"/>
        </w:rPr>
        <w:t>American Economic Review</w:t>
      </w:r>
      <w:r>
        <w:rPr>
          <w:rFonts w:ascii="仿宋" w:eastAsia="仿宋" w:hAnsi="仿宋" w:cs="宋体" w:hint="eastAsia"/>
          <w:sz w:val="24"/>
          <w:szCs w:val="24"/>
          <w:lang w:eastAsia="zh-CN"/>
        </w:rPr>
        <w:t>，产生广泛影响</w:t>
      </w:r>
      <w:r>
        <w:rPr>
          <w:rFonts w:ascii="仿宋" w:eastAsia="仿宋" w:hAnsi="仿宋" w:cs="宋体"/>
          <w:sz w:val="24"/>
          <w:szCs w:val="24"/>
          <w:lang w:eastAsia="zh-CN"/>
        </w:rPr>
        <w:t>。</w:t>
      </w:r>
    </w:p>
    <w:p w:rsidR="00A8634E" w:rsidRDefault="00A32507">
      <w:pPr>
        <w:spacing w:line="600" w:lineRule="exact"/>
        <w:ind w:firstLineChars="200" w:firstLine="480"/>
        <w:rPr>
          <w:rFonts w:ascii="仿宋" w:eastAsia="仿宋" w:hAnsi="仿宋"/>
          <w:sz w:val="24"/>
        </w:rPr>
      </w:pPr>
      <w:r>
        <w:rPr>
          <w:rFonts w:ascii="仿宋" w:eastAsia="仿宋" w:hAnsi="仿宋" w:hint="eastAsia"/>
          <w:sz w:val="24"/>
        </w:rPr>
        <w:t>新冠疫情爆发后，学科教师积极介入，在学术期刊及主流媒体上发表抗疫成果 40余篇。其中，史炜副教授与美国耶鲁大学学者合作的我国抗“疫”成功经验的合作论文《</w:t>
      </w:r>
      <w:r>
        <w:rPr>
          <w:rFonts w:ascii="仿宋" w:eastAsia="仿宋" w:hAnsi="仿宋"/>
          <w:sz w:val="24"/>
        </w:rPr>
        <w:t>Impacts of Social and Economic F actors on the Transmission of Cor onavirus Disease 2019 (COVID-19) in China</w:t>
      </w:r>
      <w:r>
        <w:rPr>
          <w:rFonts w:ascii="仿宋" w:eastAsia="仿宋" w:hAnsi="仿宋" w:hint="eastAsia"/>
          <w:sz w:val="24"/>
        </w:rPr>
        <w:t>》被人口经济学顶级期刊 Journal of Population Economics 接受发表，并获评 Kuznets Prize 最佳论文奖，被全球劳动组织、《中央电视台》《参考消息》《环球时报》、新华网等权威媒体相继报道。</w:t>
      </w:r>
    </w:p>
    <w:p w:rsidR="00A8634E" w:rsidRDefault="00A32507">
      <w:pPr>
        <w:pStyle w:val="TableParagraph"/>
        <w:spacing w:line="600" w:lineRule="exact"/>
        <w:ind w:firstLineChars="200" w:firstLine="480"/>
        <w:jc w:val="both"/>
        <w:rPr>
          <w:rFonts w:ascii="仿宋" w:eastAsia="仿宋" w:hAnsi="仿宋" w:cs="宋体"/>
          <w:sz w:val="24"/>
          <w:szCs w:val="24"/>
          <w:lang w:eastAsia="zh-CN"/>
        </w:rPr>
      </w:pPr>
      <w:r>
        <w:rPr>
          <w:rFonts w:ascii="仿宋" w:eastAsia="仿宋" w:hAnsi="仿宋" w:cs="宋体" w:hint="eastAsia"/>
          <w:sz w:val="24"/>
          <w:szCs w:val="24"/>
          <w:lang w:eastAsia="zh-CN"/>
        </w:rPr>
        <w:t>2020年，王春超教授的合作论文《</w:t>
      </w:r>
      <w:r>
        <w:rPr>
          <w:rFonts w:ascii="仿宋" w:eastAsia="仿宋" w:hAnsi="仿宋" w:cs="宋体"/>
          <w:sz w:val="24"/>
          <w:szCs w:val="24"/>
          <w:lang w:eastAsia="zh-CN"/>
        </w:rPr>
        <w:t>中国农民工多维贫困的演进——基于收入与 教育维度的考察</w:t>
      </w:r>
      <w:r>
        <w:rPr>
          <w:rFonts w:ascii="仿宋" w:eastAsia="仿宋" w:hAnsi="仿宋" w:cs="宋体" w:hint="eastAsia"/>
          <w:sz w:val="24"/>
          <w:szCs w:val="24"/>
          <w:lang w:eastAsia="zh-CN"/>
        </w:rPr>
        <w:t>》获得第八届</w:t>
      </w:r>
      <w:r>
        <w:rPr>
          <w:rFonts w:ascii="仿宋" w:eastAsia="仿宋" w:hAnsi="仿宋" w:cs="宋体"/>
          <w:sz w:val="24"/>
          <w:szCs w:val="24"/>
          <w:lang w:eastAsia="zh-CN"/>
        </w:rPr>
        <w:t>教育部高校科研优秀成果奖</w:t>
      </w:r>
      <w:r>
        <w:rPr>
          <w:rFonts w:ascii="仿宋" w:eastAsia="仿宋" w:hAnsi="仿宋" w:cs="宋体"/>
          <w:spacing w:val="-11"/>
          <w:sz w:val="24"/>
          <w:szCs w:val="24"/>
          <w:lang w:eastAsia="zh-CN"/>
        </w:rPr>
        <w:t>（人文社科）著</w:t>
      </w:r>
      <w:r>
        <w:rPr>
          <w:rFonts w:ascii="仿宋" w:eastAsia="仿宋" w:hAnsi="仿宋" w:cs="宋体"/>
          <w:sz w:val="24"/>
          <w:szCs w:val="24"/>
          <w:lang w:eastAsia="zh-CN"/>
        </w:rPr>
        <w:t>作论文奖</w:t>
      </w:r>
      <w:r>
        <w:rPr>
          <w:rFonts w:ascii="仿宋" w:eastAsia="仿宋" w:hAnsi="仿宋" w:cs="宋体" w:hint="eastAsia"/>
          <w:sz w:val="24"/>
          <w:szCs w:val="24"/>
          <w:lang w:eastAsia="zh-CN"/>
        </w:rPr>
        <w:t>二等奖；刘少波教授的合作论文《</w:t>
      </w:r>
      <w:r>
        <w:rPr>
          <w:rStyle w:val="af"/>
          <w:rFonts w:ascii="仿宋" w:eastAsia="仿宋" w:hAnsi="仿宋" w:cs="Arial"/>
          <w:i w:val="0"/>
          <w:iCs w:val="0"/>
          <w:sz w:val="24"/>
          <w:szCs w:val="24"/>
          <w:shd w:val="clear" w:color="auto" w:fill="FFFFFF"/>
          <w:lang w:eastAsia="zh-CN"/>
        </w:rPr>
        <w:t>经理人异质性与大股东</w:t>
      </w:r>
      <w:r>
        <w:rPr>
          <w:rFonts w:ascii="仿宋" w:eastAsia="仿宋" w:hAnsi="仿宋" w:cs="Arial"/>
          <w:sz w:val="24"/>
          <w:szCs w:val="24"/>
          <w:shd w:val="clear" w:color="auto" w:fill="FFFFFF"/>
          <w:lang w:eastAsia="zh-CN"/>
        </w:rPr>
        <w:t>掏空抑制</w:t>
      </w:r>
      <w:r>
        <w:rPr>
          <w:rFonts w:ascii="仿宋" w:eastAsia="仿宋" w:hAnsi="仿宋" w:cs="宋体" w:hint="eastAsia"/>
          <w:sz w:val="24"/>
          <w:szCs w:val="24"/>
          <w:lang w:eastAsia="zh-CN"/>
        </w:rPr>
        <w:t>》获得第八届</w:t>
      </w:r>
      <w:r>
        <w:rPr>
          <w:rFonts w:ascii="仿宋" w:eastAsia="仿宋" w:hAnsi="仿宋" w:cs="宋体"/>
          <w:sz w:val="24"/>
          <w:szCs w:val="24"/>
          <w:lang w:eastAsia="zh-CN"/>
        </w:rPr>
        <w:t>教育部高校科研优秀成果奖</w:t>
      </w:r>
      <w:r>
        <w:rPr>
          <w:rFonts w:ascii="仿宋" w:eastAsia="仿宋" w:hAnsi="仿宋" w:cs="宋体"/>
          <w:spacing w:val="-11"/>
          <w:sz w:val="24"/>
          <w:szCs w:val="24"/>
          <w:lang w:eastAsia="zh-CN"/>
        </w:rPr>
        <w:t>（人文社科）著</w:t>
      </w:r>
      <w:r>
        <w:rPr>
          <w:rFonts w:ascii="仿宋" w:eastAsia="仿宋" w:hAnsi="仿宋" w:cs="宋体"/>
          <w:sz w:val="24"/>
          <w:szCs w:val="24"/>
          <w:lang w:eastAsia="zh-CN"/>
        </w:rPr>
        <w:t>作论文奖</w:t>
      </w:r>
      <w:r>
        <w:rPr>
          <w:rFonts w:ascii="仿宋" w:eastAsia="仿宋" w:hAnsi="仿宋" w:cs="宋体" w:hint="eastAsia"/>
          <w:sz w:val="24"/>
          <w:szCs w:val="24"/>
          <w:lang w:eastAsia="zh-CN"/>
        </w:rPr>
        <w:t>三等奖。</w:t>
      </w:r>
    </w:p>
    <w:p w:rsidR="00A8634E" w:rsidRDefault="00A32507">
      <w:pPr>
        <w:pStyle w:val="3"/>
        <w:ind w:firstLine="480"/>
        <w:rPr>
          <w:rFonts w:ascii="仿宋" w:eastAsia="仿宋" w:hAnsi="仿宋"/>
          <w:sz w:val="24"/>
          <w:szCs w:val="24"/>
        </w:rPr>
      </w:pPr>
      <w:r>
        <w:rPr>
          <w:rFonts w:ascii="仿宋" w:eastAsia="仿宋" w:hAnsi="仿宋" w:hint="eastAsia"/>
          <w:sz w:val="24"/>
          <w:szCs w:val="24"/>
        </w:rPr>
        <w:t>省部级以上纵向项目方面，目前本学科在研国家级项目100余项，省部级纵向项目近50项。2020年度新增纵向项目40余项，其中国家项目21项，含重大项目3项，重点项目2项。获批的研究阐释党的十九届四中全会精神国家社科基金重大项目，为我院首次获批该类项目，是在承担大项目方面的又一重大突破；获批省部级项目10余项，其中包括广东省杰出青年项目1项，为我院首次获得该类别项目。</w:t>
      </w:r>
    </w:p>
    <w:p w:rsidR="00A8634E" w:rsidRDefault="00A32507">
      <w:pPr>
        <w:pStyle w:val="3"/>
        <w:ind w:firstLine="480"/>
        <w:rPr>
          <w:rFonts w:ascii="仿宋" w:eastAsia="仿宋" w:hAnsi="仿宋"/>
          <w:sz w:val="24"/>
          <w:szCs w:val="24"/>
        </w:rPr>
      </w:pPr>
      <w:r>
        <w:rPr>
          <w:rFonts w:ascii="仿宋" w:eastAsia="仿宋" w:hAnsi="仿宋" w:hint="eastAsia"/>
          <w:sz w:val="24"/>
          <w:szCs w:val="24"/>
        </w:rPr>
        <w:t>横向项目方面，本学科紧紧围绕国家所需、湾区所向，发挥暨大所长，近5年承担了企事业单位委托的横向项目300余项。2020年新增获批横向项目60余项，获批经费达1000余万元。部分项目研究成果获得了中央及地方领导的重要批示，例如：在粤港澳大湾区建设方面提交40 多篇决策咨询调研报告，其中1 篇获时任政治局常委和国家副主席同时批示，1 篇获国务院总理批示，3 篇获得中央办公厅批示或采纳批示，《成果要报》刊用1 篇，10篇被省委办公厅批示或采纳。</w:t>
      </w:r>
    </w:p>
    <w:p w:rsidR="00A8634E" w:rsidRDefault="00A32507">
      <w:pPr>
        <w:pStyle w:val="3"/>
        <w:spacing w:afterLines="50" w:after="156"/>
        <w:ind w:firstLineChars="100" w:firstLine="240"/>
        <w:rPr>
          <w:sz w:val="24"/>
          <w:szCs w:val="24"/>
        </w:rPr>
      </w:pPr>
      <w:r>
        <w:rPr>
          <w:rFonts w:hint="eastAsia"/>
          <w:sz w:val="24"/>
          <w:szCs w:val="24"/>
        </w:rPr>
        <w:t>（三）学术平台及基地支撑</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学科依托经济学院、产业经济研究院、经济与社会发展研究院，获批教育部、国家外国专家局“人口流动与劳动经济学科创新引智基地”1个，有3个广东省人文社科重点研究基地，共建“广州南沙自由贸易试验区研究基地”等若干研究基地；1 个国家级实验教学示范中心，广东省重点实验室2个；广东产业转型升级协同创新中心是首批认定的广东省国家级协同创新平台，开发建设“广东产业发展数据库”。</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学科与美国芝加哥大学人类发展经济学研究中心共同创建“芝加哥-暨南大学人类发展研究联合计划”，由诺奖得主舒尔茨教授、赫克曼教授及学科带头人冯帅章教授担任共同负责人，在人才培养与学生国际交流开展深度合作；着力打造两个稳定的国际学术交流平台，即“亚洲区域创新与合作论坛”（中日韩泰）和“改革、转型与增长国际论坛”；与英国斯克莱德大学商学院、美国内布拉斯加大学等4所院校签订院级合作备忘录与交流互访协议。学科积极贯彻学校“国际化办学”战略，注重开拓学生的国际视野，鼓励并资助优秀研究生参加各类国际学术交流，有120多人次的学生赴境外参加国际学术会议或学术交流。</w:t>
      </w:r>
    </w:p>
    <w:p w:rsidR="00A8634E" w:rsidRDefault="00A32507">
      <w:pPr>
        <w:spacing w:afterLines="50" w:after="156" w:line="560" w:lineRule="exact"/>
        <w:ind w:firstLineChars="200" w:firstLine="640"/>
        <w:rPr>
          <w:rFonts w:ascii="黑体" w:eastAsia="黑体" w:hAnsi="黑体"/>
        </w:rPr>
      </w:pPr>
      <w:r>
        <w:rPr>
          <w:rFonts w:ascii="黑体" w:eastAsia="黑体" w:hAnsi="黑体" w:hint="eastAsia"/>
        </w:rPr>
        <w:t>三、人才培养</w:t>
      </w:r>
    </w:p>
    <w:p w:rsidR="00A8634E" w:rsidRDefault="00A32507">
      <w:pPr>
        <w:pStyle w:val="3"/>
        <w:ind w:firstLineChars="100" w:firstLine="240"/>
        <w:rPr>
          <w:sz w:val="24"/>
          <w:szCs w:val="24"/>
        </w:rPr>
      </w:pPr>
      <w:r>
        <w:rPr>
          <w:rFonts w:hint="eastAsia"/>
          <w:sz w:val="24"/>
          <w:szCs w:val="24"/>
        </w:rPr>
        <w:t>（一）招生选拔</w:t>
      </w:r>
      <w:bookmarkStart w:id="0" w:name="_GoBack"/>
      <w:bookmarkEnd w:id="0"/>
    </w:p>
    <w:p w:rsidR="00A8634E" w:rsidRDefault="00A32507">
      <w:pPr>
        <w:pStyle w:val="3"/>
        <w:ind w:firstLine="480"/>
        <w:rPr>
          <w:rFonts w:ascii="仿宋" w:eastAsia="仿宋" w:hAnsi="仿宋"/>
          <w:sz w:val="24"/>
          <w:szCs w:val="24"/>
        </w:rPr>
      </w:pPr>
      <w:r>
        <w:rPr>
          <w:rFonts w:ascii="仿宋" w:eastAsia="仿宋" w:hAnsi="仿宋" w:hint="eastAsia"/>
          <w:sz w:val="24"/>
          <w:szCs w:val="24"/>
        </w:rPr>
        <w:t>应用经济学学科优势明显、师资力量雄厚、办学质量优良、社会影响广泛，学科排名在国内位居前列，大部分专业一直都是学生报考暨大最热门的选择之一，报考人数2</w:t>
      </w:r>
      <w:r>
        <w:rPr>
          <w:rFonts w:ascii="仿宋" w:eastAsia="仿宋" w:hAnsi="仿宋"/>
          <w:sz w:val="24"/>
          <w:szCs w:val="24"/>
        </w:rPr>
        <w:t>38</w:t>
      </w:r>
      <w:r>
        <w:rPr>
          <w:rFonts w:ascii="仿宋" w:eastAsia="仿宋" w:hAnsi="仿宋" w:hint="eastAsia"/>
          <w:sz w:val="24"/>
          <w:szCs w:val="24"/>
        </w:rPr>
        <w:t>人，录取1</w:t>
      </w:r>
      <w:r>
        <w:rPr>
          <w:rFonts w:ascii="仿宋" w:eastAsia="仿宋" w:hAnsi="仿宋"/>
          <w:sz w:val="24"/>
          <w:szCs w:val="24"/>
        </w:rPr>
        <w:t>6</w:t>
      </w:r>
      <w:r>
        <w:rPr>
          <w:rFonts w:ascii="仿宋" w:eastAsia="仿宋" w:hAnsi="仿宋" w:hint="eastAsia"/>
          <w:sz w:val="24"/>
          <w:szCs w:val="24"/>
        </w:rPr>
        <w:t>人，考录比1</w:t>
      </w:r>
      <w:r>
        <w:rPr>
          <w:rFonts w:ascii="仿宋" w:eastAsia="仿宋" w:hAnsi="仿宋"/>
          <w:sz w:val="24"/>
          <w:szCs w:val="24"/>
        </w:rPr>
        <w:t>4.9</w:t>
      </w: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p>
    <w:p w:rsidR="00A8634E" w:rsidRDefault="00A32507">
      <w:pPr>
        <w:pStyle w:val="3"/>
        <w:ind w:firstLineChars="100" w:firstLine="240"/>
        <w:rPr>
          <w:sz w:val="24"/>
          <w:szCs w:val="24"/>
        </w:rPr>
      </w:pPr>
      <w:r>
        <w:rPr>
          <w:rFonts w:hint="eastAsia"/>
          <w:sz w:val="24"/>
          <w:szCs w:val="24"/>
        </w:rPr>
        <w:t>（二）思政教育</w:t>
      </w:r>
    </w:p>
    <w:p w:rsidR="00A8634E" w:rsidRDefault="00A32507">
      <w:pPr>
        <w:pStyle w:val="3"/>
        <w:ind w:firstLine="480"/>
        <w:rPr>
          <w:rFonts w:ascii="仿宋" w:eastAsia="仿宋" w:hAnsi="仿宋"/>
          <w:sz w:val="24"/>
          <w:szCs w:val="24"/>
        </w:rPr>
      </w:pPr>
      <w:r>
        <w:rPr>
          <w:rFonts w:ascii="仿宋" w:eastAsia="仿宋" w:hAnsi="仿宋" w:hint="eastAsia"/>
          <w:sz w:val="24"/>
          <w:szCs w:val="24"/>
        </w:rPr>
        <w:t>本学位点在习近平总书记两度视察广东、粤港澳大湾区战略推进的大好形势下，深入贯彻习近平总书记亲临暨南大学所作重要讲话精神，全面落实教育部“三全育人”改革部署，为学科建设立心，为人才培养铸魂，践行社会主义大学育人使命，做法如下：</w:t>
      </w:r>
    </w:p>
    <w:p w:rsidR="00A8634E" w:rsidRDefault="00A32507">
      <w:pPr>
        <w:pStyle w:val="3"/>
        <w:ind w:firstLine="480"/>
        <w:rPr>
          <w:rFonts w:ascii="仿宋" w:eastAsia="仿宋" w:hAnsi="仿宋"/>
          <w:sz w:val="24"/>
          <w:szCs w:val="24"/>
        </w:rPr>
      </w:pPr>
      <w:r>
        <w:rPr>
          <w:rFonts w:ascii="仿宋" w:eastAsia="仿宋" w:hAnsi="仿宋" w:hint="eastAsia"/>
          <w:sz w:val="24"/>
          <w:szCs w:val="24"/>
        </w:rPr>
        <w:t xml:space="preserve"> 一是擦亮“侨”牌。本学科立足百年暨南“面向海外、面向港澳台”办学方向，针对内地生、港澳台侨生和留学生特点，在“至臻学业，多元共融”校园文化氛围中，以“分类培养、分流教学、同相融合”的侨校育人模式具化、做细、落实大思政。通过“红色基因·学生党员先锋培育计划”、“信仰启航”“先锋示范”“卓越领航”三大工程，培养“有家国情怀、有过硬本领、有国际视野”的又红又专优秀学科人才；通过实施“优秀港澳台侨学生学业精进砥砺前行培养工程”、组建“港澳台侨学生国情社情考察团”，引导港澳台侨学生增强“四个认同”。</w:t>
      </w:r>
    </w:p>
    <w:p w:rsidR="00A8634E" w:rsidRDefault="00A32507">
      <w:pPr>
        <w:pStyle w:val="3"/>
        <w:ind w:firstLine="480"/>
        <w:rPr>
          <w:rFonts w:ascii="仿宋" w:eastAsia="仿宋" w:hAnsi="仿宋"/>
          <w:sz w:val="24"/>
          <w:szCs w:val="24"/>
        </w:rPr>
      </w:pPr>
      <w:r>
        <w:rPr>
          <w:rFonts w:ascii="仿宋" w:eastAsia="仿宋" w:hAnsi="仿宋" w:hint="eastAsia"/>
          <w:sz w:val="24"/>
          <w:szCs w:val="24"/>
        </w:rPr>
        <w:t xml:space="preserve"> 二是传承“政”统。溯源于50 年代设立的政治经济学专业，应用经济学始终在马克思主义世界观、方法论和经济思想指导下确立起“讲政治”的优良传统，通过课程思政改革固本而开新：将“四个自信”寓于《中国特色社会主义经济理论专题》、“四史”教育纳入《中国经济史》等课堂的教学设计；通过《商业伦理》、《经济研究方法论》等课程的学习和实训，培育社会主义核心价值观，将思政元素和育人宗旨细化分解到专业培养计划中。通过建章立制，严格规范教材、授课、科研、学术交流、师资引进等各个方面与环节，营造风清气正的网络环境，全天候全方位，确保意识形态阵地管理无漏洞。将学科发展、基层党建、思政教育，围绕“立德树人”统“单”“分”为“合”“全”，成为一体化的社会主义建设者育人平台。</w:t>
      </w:r>
    </w:p>
    <w:p w:rsidR="00A8634E" w:rsidRDefault="00A32507">
      <w:pPr>
        <w:pStyle w:val="3"/>
        <w:ind w:firstLine="480"/>
        <w:rPr>
          <w:rFonts w:ascii="仿宋" w:eastAsia="仿宋" w:hAnsi="仿宋"/>
          <w:sz w:val="24"/>
          <w:szCs w:val="24"/>
        </w:rPr>
      </w:pPr>
      <w:r>
        <w:rPr>
          <w:rFonts w:ascii="仿宋" w:eastAsia="仿宋" w:hAnsi="仿宋" w:hint="eastAsia"/>
          <w:sz w:val="24"/>
          <w:szCs w:val="24"/>
        </w:rPr>
        <w:t>三是教人以“德”。育人先修身，高标准建设学科师资队伍。以《师德师风考核实施办》、“经济学院特殊贡献奖”、“教师党支部‘双带头人’培育计划”、“青年教师能力提升工作坊”、“课程思政名师工作室”为切入点和着力点，用好考评“指挥棒”，发挥“头雁”引领作用。与延安干部培训学院合作，全员培训与骨干培养相结合，开展以课程思政为主题的教师培训。</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四是学在应“用”。具体依托经济管理国家级教学实验示范中心、社会调查中心，发挥实践课堂育人功能；打造“广东千村调查”、“‘百企千人’港澳青年学生实习计划”、“南粤炊烟·行走课堂”等社会实践育人品牌，为学生创造充分认识和研究社会的机会，培育乡土意识和爱国情怀。通过“名师下午茶”科研实践分享，培养学术操守；聆听“经院校友大讲堂”，了解业界前沿，学习职业道德。</w:t>
      </w:r>
    </w:p>
    <w:p w:rsidR="00A8634E" w:rsidRDefault="00A32507">
      <w:pPr>
        <w:pStyle w:val="3"/>
        <w:ind w:firstLine="480"/>
        <w:rPr>
          <w:rFonts w:ascii="仿宋" w:eastAsia="仿宋" w:hAnsi="仿宋"/>
          <w:sz w:val="24"/>
          <w:szCs w:val="24"/>
        </w:rPr>
      </w:pPr>
      <w:r>
        <w:rPr>
          <w:rFonts w:ascii="仿宋" w:eastAsia="仿宋" w:hAnsi="仿宋" w:hint="eastAsia"/>
          <w:sz w:val="24"/>
          <w:szCs w:val="24"/>
        </w:rPr>
        <w:t xml:space="preserve">本学科所依托院系的辅导员总数是21人，其中，专职辅导员17人，兼职辅导员4人。专职辅导员管理的学生总数是3247人，生师比为191：1；兼职辅导员管理的学生总数是160人，生师比为40：1。   </w:t>
      </w:r>
    </w:p>
    <w:p w:rsidR="00A8634E" w:rsidRDefault="00A32507">
      <w:pPr>
        <w:pStyle w:val="3"/>
        <w:ind w:firstLine="480"/>
        <w:rPr>
          <w:sz w:val="24"/>
          <w:szCs w:val="24"/>
        </w:rPr>
      </w:pPr>
      <w:bookmarkStart w:id="1" w:name="_Hlk67061882"/>
      <w:r>
        <w:rPr>
          <w:rFonts w:hint="eastAsia"/>
          <w:sz w:val="24"/>
          <w:szCs w:val="24"/>
        </w:rPr>
        <w:t>（三）课程教学</w:t>
      </w:r>
    </w:p>
    <w:bookmarkEnd w:id="1"/>
    <w:p w:rsidR="00A8634E" w:rsidRDefault="00A32507">
      <w:pPr>
        <w:pStyle w:val="a5"/>
        <w:spacing w:line="600" w:lineRule="exact"/>
        <w:ind w:left="152" w:firstLineChars="200" w:firstLine="480"/>
        <w:rPr>
          <w:rFonts w:ascii="仿宋" w:eastAsia="仿宋" w:hAnsi="仿宋" w:cs="宋体"/>
          <w:sz w:val="24"/>
          <w:szCs w:val="24"/>
          <w:lang w:eastAsia="zh-CN"/>
        </w:rPr>
      </w:pPr>
      <w:r>
        <w:rPr>
          <w:rFonts w:ascii="仿宋" w:eastAsia="仿宋" w:hAnsi="仿宋" w:cs="宋体" w:hint="eastAsia"/>
          <w:sz w:val="24"/>
          <w:szCs w:val="24"/>
          <w:lang w:eastAsia="zh-CN"/>
        </w:rPr>
        <w:t>本学位点通过系列举措提升课程教学质量。</w:t>
      </w:r>
    </w:p>
    <w:p w:rsidR="00A8634E" w:rsidRDefault="00A32507">
      <w:pPr>
        <w:pStyle w:val="3"/>
        <w:ind w:firstLine="480"/>
        <w:rPr>
          <w:rFonts w:ascii="仿宋" w:eastAsia="仿宋" w:hAnsi="仿宋"/>
          <w:sz w:val="24"/>
          <w:szCs w:val="24"/>
        </w:rPr>
      </w:pPr>
      <w:r>
        <w:rPr>
          <w:rFonts w:ascii="仿宋" w:eastAsia="仿宋" w:hAnsi="仿宋" w:cs="宋体" w:hint="eastAsia"/>
          <w:sz w:val="24"/>
          <w:szCs w:val="24"/>
        </w:rPr>
        <w:t xml:space="preserve">1. </w:t>
      </w:r>
      <w:r>
        <w:rPr>
          <w:rFonts w:ascii="仿宋" w:eastAsia="仿宋" w:hAnsi="仿宋" w:cs="宋体"/>
          <w:sz w:val="24"/>
          <w:szCs w:val="24"/>
        </w:rPr>
        <w:t>科学设计课程分类</w:t>
      </w:r>
      <w:r>
        <w:rPr>
          <w:rFonts w:ascii="仿宋" w:eastAsia="仿宋" w:hAnsi="仿宋" w:cs="宋体" w:hint="eastAsia"/>
          <w:sz w:val="24"/>
          <w:szCs w:val="24"/>
        </w:rPr>
        <w:t>。</w:t>
      </w:r>
      <w:r>
        <w:rPr>
          <w:rFonts w:ascii="仿宋" w:eastAsia="仿宋" w:hAnsi="仿宋" w:hint="eastAsia"/>
          <w:sz w:val="24"/>
          <w:szCs w:val="24"/>
        </w:rPr>
        <w:t>课程类别分为公共必修课、学位课、选修课</w:t>
      </w:r>
      <w:r>
        <w:rPr>
          <w:rFonts w:ascii="仿宋" w:eastAsia="仿宋" w:hAnsi="仿宋"/>
          <w:sz w:val="24"/>
          <w:szCs w:val="24"/>
        </w:rPr>
        <w:t>3</w:t>
      </w:r>
      <w:r>
        <w:rPr>
          <w:rFonts w:ascii="仿宋" w:eastAsia="仿宋" w:hAnsi="仿宋" w:hint="eastAsia"/>
          <w:sz w:val="24"/>
          <w:szCs w:val="24"/>
        </w:rPr>
        <w:t>类。博士研究生学位课程《高级微观经济学》《高级宏观经济学》《高级计量经济学》进行了课时和教学内容的扩充，培养学生更扎实的理论基础。课程设置既注重打牢研究生的基础理论，又注重学生对学术前沿的了解与掌握，硕士研究生培养注重培养其应用性能力，博士研究生培养注重其学术创新性能力。</w:t>
      </w:r>
    </w:p>
    <w:p w:rsidR="00A8634E" w:rsidRDefault="00A32507">
      <w:pPr>
        <w:pStyle w:val="a5"/>
        <w:spacing w:line="600" w:lineRule="exact"/>
        <w:ind w:left="152" w:firstLineChars="200" w:firstLine="480"/>
        <w:rPr>
          <w:rFonts w:ascii="仿宋" w:eastAsia="仿宋" w:hAnsi="仿宋" w:cs="宋体"/>
          <w:sz w:val="24"/>
          <w:szCs w:val="24"/>
          <w:lang w:eastAsia="zh-CN"/>
        </w:rPr>
      </w:pPr>
      <w:r>
        <w:rPr>
          <w:rFonts w:ascii="仿宋" w:eastAsia="仿宋" w:hAnsi="仿宋" w:cs="宋体" w:hint="eastAsia"/>
          <w:sz w:val="24"/>
          <w:szCs w:val="24"/>
          <w:lang w:eastAsia="zh-CN"/>
        </w:rPr>
        <w:t xml:space="preserve">2. </w:t>
      </w:r>
      <w:r>
        <w:rPr>
          <w:rFonts w:ascii="仿宋" w:eastAsia="仿宋" w:hAnsi="仿宋" w:cs="宋体"/>
          <w:sz w:val="24"/>
          <w:szCs w:val="24"/>
          <w:lang w:eastAsia="zh-CN"/>
        </w:rPr>
        <w:t>以一流师资团队组建高质量课程组。三高课程为主体的课程组具有合理的年龄</w:t>
      </w:r>
      <w:r>
        <w:rPr>
          <w:rFonts w:ascii="仿宋" w:eastAsia="仿宋" w:hAnsi="仿宋" w:cs="宋体"/>
          <w:spacing w:val="-3"/>
          <w:sz w:val="24"/>
          <w:szCs w:val="24"/>
          <w:lang w:eastAsia="zh-CN"/>
        </w:rPr>
        <w:t>结构，资深教授与优秀青年教师有机组合，形成一支有卓越科研能力、有丰富教学经验的教学团队。</w:t>
      </w:r>
      <w:r>
        <w:rPr>
          <w:rFonts w:ascii="仿宋" w:eastAsia="仿宋" w:hAnsi="仿宋" w:cs="宋体"/>
          <w:spacing w:val="-68"/>
          <w:sz w:val="24"/>
          <w:szCs w:val="24"/>
          <w:lang w:eastAsia="zh-CN"/>
        </w:rPr>
        <w:t xml:space="preserve"> </w:t>
      </w:r>
      <w:r>
        <w:rPr>
          <w:rFonts w:ascii="仿宋" w:eastAsia="仿宋" w:hAnsi="仿宋" w:cs="宋体"/>
          <w:spacing w:val="-3"/>
          <w:sz w:val="24"/>
          <w:szCs w:val="24"/>
          <w:lang w:eastAsia="zh-CN"/>
        </w:rPr>
        <w:t>学位课程实施统一教学大纲、统一教案、统一命题和考试，对全部学生实行高标准的教学培养。</w:t>
      </w:r>
    </w:p>
    <w:p w:rsidR="00A8634E" w:rsidRDefault="00A32507">
      <w:pPr>
        <w:pStyle w:val="a5"/>
        <w:spacing w:line="600" w:lineRule="exact"/>
        <w:ind w:left="152" w:right="105" w:firstLineChars="200" w:firstLine="480"/>
        <w:jc w:val="both"/>
        <w:rPr>
          <w:rFonts w:ascii="仿宋" w:eastAsia="仿宋" w:hAnsi="仿宋" w:cs="宋体"/>
          <w:sz w:val="24"/>
          <w:szCs w:val="24"/>
          <w:lang w:eastAsia="zh-CN"/>
        </w:rPr>
      </w:pPr>
      <w:r>
        <w:rPr>
          <w:rFonts w:ascii="仿宋" w:eastAsia="仿宋" w:hAnsi="仿宋" w:cs="宋体"/>
          <w:sz w:val="24"/>
          <w:szCs w:val="24"/>
          <w:lang w:eastAsia="zh-CN"/>
        </w:rPr>
        <w:t xml:space="preserve">3.加大对课程建设与教学改革的激励与支持。深化教师薪酬制度改革，提高了研究生课程建设 和教学工作在绩效工资分配中的比重，着重加大对基础性学位课的课程建设力度，表彰成效突出的 </w:t>
      </w:r>
      <w:r>
        <w:rPr>
          <w:rFonts w:ascii="仿宋" w:eastAsia="仿宋" w:hAnsi="仿宋" w:cs="宋体"/>
          <w:spacing w:val="-3"/>
          <w:sz w:val="24"/>
          <w:szCs w:val="24"/>
          <w:lang w:eastAsia="zh-CN"/>
        </w:rPr>
        <w:t>教师，评选年度优秀授课教师。统筹使用各类经费，加大对研究生课程建设，打造研究生“金课”。</w:t>
      </w:r>
    </w:p>
    <w:p w:rsidR="00A8634E" w:rsidRDefault="00A32507">
      <w:pPr>
        <w:pStyle w:val="a5"/>
        <w:spacing w:line="600" w:lineRule="exact"/>
        <w:ind w:left="152" w:firstLineChars="200" w:firstLine="468"/>
        <w:rPr>
          <w:rFonts w:ascii="仿宋" w:eastAsia="仿宋" w:hAnsi="仿宋" w:cs="宋体"/>
          <w:sz w:val="24"/>
          <w:szCs w:val="24"/>
          <w:lang w:eastAsia="zh-CN"/>
        </w:rPr>
      </w:pPr>
      <w:r>
        <w:rPr>
          <w:rFonts w:ascii="仿宋" w:eastAsia="仿宋" w:hAnsi="仿宋" w:cs="宋体" w:hint="eastAsia"/>
          <w:spacing w:val="-3"/>
          <w:sz w:val="24"/>
          <w:szCs w:val="24"/>
          <w:lang w:eastAsia="zh-CN"/>
        </w:rPr>
        <w:t>4</w:t>
      </w:r>
      <w:r>
        <w:rPr>
          <w:rFonts w:ascii="仿宋" w:eastAsia="仿宋" w:hAnsi="仿宋" w:cs="宋体"/>
          <w:spacing w:val="-3"/>
          <w:sz w:val="24"/>
          <w:szCs w:val="24"/>
          <w:lang w:eastAsia="zh-CN"/>
        </w:rPr>
        <w:t>.实施“立体式”课程教学评价与培养质量监督机制。建立“研究生课程教学质量评估指标”，</w:t>
      </w:r>
      <w:r>
        <w:rPr>
          <w:rFonts w:ascii="仿宋" w:eastAsia="仿宋" w:hAnsi="仿宋" w:cs="宋体"/>
          <w:sz w:val="24"/>
          <w:szCs w:val="24"/>
          <w:lang w:eastAsia="zh-CN"/>
        </w:rPr>
        <w:t xml:space="preserve"> 从教师投入、教学控制、教学效果三方面，对老师的履职、教学内容、教学方法、教学水平及教学 </w:t>
      </w:r>
      <w:r>
        <w:rPr>
          <w:rFonts w:ascii="仿宋" w:eastAsia="仿宋" w:hAnsi="仿宋" w:cs="宋体"/>
          <w:spacing w:val="-3"/>
          <w:sz w:val="24"/>
          <w:szCs w:val="24"/>
          <w:lang w:eastAsia="zh-CN"/>
        </w:rPr>
        <w:t>效果进行评估。建立“院系领导+专家”双层研究生教育督导委员会，采取“常规督导”和“专项督</w:t>
      </w:r>
      <w:r>
        <w:rPr>
          <w:rFonts w:ascii="仿宋" w:eastAsia="仿宋" w:hAnsi="仿宋" w:cs="宋体"/>
          <w:spacing w:val="-71"/>
          <w:sz w:val="24"/>
          <w:szCs w:val="24"/>
          <w:lang w:eastAsia="zh-CN"/>
        </w:rPr>
        <w:t xml:space="preserve"> </w:t>
      </w:r>
      <w:r>
        <w:rPr>
          <w:rFonts w:ascii="仿宋" w:eastAsia="仿宋" w:hAnsi="仿宋" w:cs="宋体"/>
          <w:sz w:val="24"/>
          <w:szCs w:val="24"/>
          <w:lang w:eastAsia="zh-CN"/>
        </w:rPr>
        <w:t>导”方式，对研究生培养的全过程进行监督指导，优化质量保障体系、提升教学质量。</w:t>
      </w:r>
    </w:p>
    <w:p w:rsidR="00A8634E" w:rsidRDefault="00A32507">
      <w:pPr>
        <w:pStyle w:val="3"/>
        <w:ind w:firstLine="480"/>
        <w:rPr>
          <w:sz w:val="24"/>
          <w:szCs w:val="24"/>
        </w:rPr>
      </w:pPr>
      <w:r>
        <w:rPr>
          <w:rFonts w:hint="eastAsia"/>
          <w:sz w:val="24"/>
          <w:szCs w:val="24"/>
        </w:rPr>
        <w:t>（四）导师指导</w:t>
      </w:r>
    </w:p>
    <w:p w:rsidR="00A8634E" w:rsidRDefault="00A32507">
      <w:pPr>
        <w:pStyle w:val="3"/>
        <w:ind w:firstLine="480"/>
        <w:rPr>
          <w:rFonts w:ascii="仿宋" w:eastAsia="仿宋" w:hAnsi="仿宋"/>
          <w:sz w:val="24"/>
          <w:szCs w:val="24"/>
        </w:rPr>
      </w:pPr>
      <w:r>
        <w:rPr>
          <w:rFonts w:ascii="仿宋" w:eastAsia="仿宋" w:hAnsi="仿宋"/>
          <w:sz w:val="24"/>
          <w:szCs w:val="24"/>
        </w:rPr>
        <w:t>导师管理全面贯彻党的教育方针，把立德树人作为研究生导师的首要职责，落实导师是研究生培养第一责任人的要求</w:t>
      </w:r>
      <w:r>
        <w:rPr>
          <w:rFonts w:ascii="仿宋" w:eastAsia="仿宋" w:hAnsi="仿宋" w:hint="eastAsia"/>
          <w:sz w:val="24"/>
          <w:szCs w:val="24"/>
        </w:rPr>
        <w:t>。严格按照</w:t>
      </w:r>
      <w:r>
        <w:rPr>
          <w:rFonts w:ascii="仿宋" w:eastAsia="仿宋" w:hAnsi="仿宋"/>
          <w:sz w:val="24"/>
          <w:szCs w:val="24"/>
        </w:rPr>
        <w:t>《暨南大学研究生指导教师岗位管理办法（试行）》对导师队伍</w:t>
      </w:r>
      <w:r>
        <w:rPr>
          <w:rFonts w:ascii="仿宋" w:eastAsia="仿宋" w:hAnsi="仿宋" w:hint="eastAsia"/>
          <w:sz w:val="24"/>
          <w:szCs w:val="24"/>
        </w:rPr>
        <w:t>进行</w:t>
      </w:r>
      <w:r>
        <w:rPr>
          <w:rFonts w:ascii="仿宋" w:eastAsia="仿宋" w:hAnsi="仿宋"/>
          <w:sz w:val="24"/>
          <w:szCs w:val="24"/>
        </w:rPr>
        <w:t>选聘、培训、考核，</w:t>
      </w:r>
      <w:r>
        <w:rPr>
          <w:rFonts w:ascii="仿宋" w:eastAsia="仿宋" w:hAnsi="仿宋" w:hint="eastAsia"/>
          <w:sz w:val="24"/>
          <w:szCs w:val="24"/>
        </w:rPr>
        <w:t>对</w:t>
      </w:r>
      <w:r>
        <w:rPr>
          <w:rFonts w:ascii="仿宋" w:eastAsia="仿宋" w:hAnsi="仿宋"/>
          <w:sz w:val="24"/>
          <w:szCs w:val="24"/>
        </w:rPr>
        <w:t>导师指导研究生的制度要求和执行进行明确规定。强化研究生导师基本素质要求，制定了导师选聘的基本条件与要求，遴选政治素质过硬，师德师风高尚，业务素质精湛，能教书育人，为人师表，团结协作的导师队伍，明确研究生导师立德树人职责。健全研究生导师评价激励机制，实施导师招生岗位审核监督和岗位动态调整与退出机制，加强导师上岗岗前培训制度和合作导师制，加强对新导师的指导和培训，以保证研究生培训质量。</w:t>
      </w:r>
    </w:p>
    <w:p w:rsidR="00A8634E" w:rsidRDefault="00A32507">
      <w:pPr>
        <w:spacing w:line="600" w:lineRule="exact"/>
        <w:ind w:firstLineChars="200" w:firstLine="480"/>
        <w:rPr>
          <w:rFonts w:ascii="仿宋" w:eastAsia="仿宋" w:hAnsi="仿宋"/>
          <w:sz w:val="24"/>
        </w:rPr>
      </w:pPr>
      <w:r>
        <w:rPr>
          <w:rFonts w:ascii="仿宋" w:eastAsia="仿宋" w:hAnsi="仿宋" w:hint="eastAsia"/>
          <w:sz w:val="24"/>
        </w:rPr>
        <w:t>学科依托国家级平台聘请了来自美国、澳大利亚、新加坡等高校的一批杰出学者担任特聘教授。其中包括：诺贝尔经济学奖得主，美国芝加哥大学 James Heckman 教授；美国人文与科学院院士 Mark Rosenzweig 教授；国家高端外专项目入选者、美国俄 亥俄州立大学 Mark Partridge 教授；澳大利亚社会科学院院士、澳大利亚国立大学孟昕教授；国际顶级期刊 Management Science 副主编 Sumit Agarwal 教授、杨立岩教授；顶级期刊 Journal of Economic Literature 主编、美国芝加哥大学 Steven Durlauf 教授等 30 余人。这些特聘教授与本学位点专职导师共同开展研究生指导工作，在课程教学、学术沙龙、论文撰写与发表乃至学生职业发展规划等方面进行全方位指导。</w:t>
      </w:r>
    </w:p>
    <w:p w:rsidR="00A8634E" w:rsidRDefault="00A32507">
      <w:pPr>
        <w:pStyle w:val="3"/>
        <w:ind w:left="315" w:firstLineChars="0" w:firstLine="0"/>
        <w:rPr>
          <w:sz w:val="24"/>
          <w:szCs w:val="24"/>
        </w:rPr>
      </w:pPr>
      <w:r>
        <w:rPr>
          <w:rFonts w:hint="eastAsia"/>
          <w:sz w:val="24"/>
          <w:szCs w:val="24"/>
        </w:rPr>
        <w:t>（五）学术交流与训练</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制度保障和经费支持：依据《暨南大学研究生国际交流与合作管理规定（试行）》和《暨南大学关于资助研究生参加国际学术会议管理规定》，鼓励在校研究生公派出国（境）攻读学位，与国（境）外高校或科研机构进行联合培养、合作科研，出国（境）外参加学术会议或技术培训等。</w:t>
      </w:r>
    </w:p>
    <w:p w:rsidR="00A8634E" w:rsidRDefault="00A32507">
      <w:pPr>
        <w:pStyle w:val="3"/>
        <w:ind w:firstLine="480"/>
        <w:rPr>
          <w:rFonts w:ascii="仿宋" w:eastAsia="仿宋" w:hAnsi="仿宋"/>
          <w:sz w:val="24"/>
          <w:szCs w:val="24"/>
        </w:rPr>
      </w:pPr>
      <w:r>
        <w:rPr>
          <w:rFonts w:ascii="仿宋" w:eastAsia="仿宋" w:hAnsi="仿宋" w:hint="eastAsia"/>
          <w:sz w:val="24"/>
          <w:szCs w:val="24"/>
        </w:rPr>
        <w:t>长期聘请国内外知名学者为研究生开设讲座和开设短期培训班，鼓励并资助研究生参加“应用微观计量经济学暑期培训班”等暑期培训班和国内外优秀学术论坛等。</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学院要求导师组建论文研讨小组，每两周开展一次论文研讨会。全体博士研究生每周一次开展“博士学术沙龙”，开展文献学习、工具使用、学术论文发表、学术交流等学习交流。通过举办讲座、沙龙、比赛等形式，积极开展研究生创新创业教育项目（以下称“第二课堂品牌项目”）培育活动，全面推进研究生的创新创业教育项目并给予一定经费资助。</w:t>
      </w:r>
    </w:p>
    <w:p w:rsidR="00A8634E" w:rsidRDefault="00A32507">
      <w:pPr>
        <w:pStyle w:val="3"/>
        <w:ind w:firstLine="480"/>
        <w:rPr>
          <w:rFonts w:ascii="仿宋" w:eastAsia="仿宋" w:hAnsi="仿宋"/>
          <w:sz w:val="24"/>
          <w:szCs w:val="24"/>
        </w:rPr>
      </w:pPr>
      <w:r>
        <w:rPr>
          <w:rFonts w:ascii="仿宋" w:eastAsia="仿宋" w:hAnsi="仿宋" w:hint="eastAsia"/>
          <w:sz w:val="24"/>
          <w:szCs w:val="24"/>
        </w:rPr>
        <w:t>近五年，学科积极贯彻学校“国际化办学”战略，多次主办、承办国际或全国性学术交流会，包括中国金融学术年会、中国留美经济学会国际学术研讨会、中国青年经济学者论坛等具有较大影响力的经济学学术年会；促进与国（境）外高校、科研机构的学术交流与科研合作，打造国际化人才培养及交流平台，提高研究生的培养质量，规范我校出国留学研究生选拔、派出和管理工作，制定《暨南大学研究生国际交流与合作管理规定（试行）》和《暨南大学关于资助研究生参加国际学术会议管理规定》，以鼓励在校研究生公派出国（境）攻读学位，与国（境）外高校或科研机构进行联合培养、合作科研，出国（境）外参加学术会议或技术培训等。选派90名研究生出国（境）交流访问。</w:t>
      </w:r>
    </w:p>
    <w:p w:rsidR="00A8634E" w:rsidRDefault="00A32507">
      <w:pPr>
        <w:pStyle w:val="3"/>
        <w:ind w:firstLine="480"/>
        <w:rPr>
          <w:rFonts w:ascii="仿宋" w:eastAsia="仿宋" w:hAnsi="仿宋"/>
          <w:sz w:val="24"/>
          <w:szCs w:val="24"/>
        </w:rPr>
      </w:pPr>
      <w:r>
        <w:rPr>
          <w:rFonts w:ascii="仿宋" w:eastAsia="仿宋" w:hAnsi="仿宋" w:hint="eastAsia"/>
          <w:sz w:val="24"/>
          <w:szCs w:val="24"/>
        </w:rPr>
        <w:t>学科着力打造多个国际学术交流平台，包括“亚洲区域创新与合作论坛（RICA）”（由暨南大学经济学院与日本立命馆大学、韩国釜山大学、泰国国家发展研究院共同主办）和“改革、转型与增长国际论坛（RTG）”（由暨南大学经济学院与俄罗斯国立莫斯科大学、匈牙利布达佩斯考文纽斯大学、塞尔维亚贝尔格莱德亚洲研究中心共同主办）；与英国斯克莱德大学商学院、美国内布拉斯加大学等4 所院校签订院级合作备忘录与交流互访协议。学科还开设了经济学系列seminar、金融学系列seminar、区域经济学系列seminar、财贸经济学系列seminar以及经济学名师大讲堂，</w:t>
      </w:r>
      <w:r>
        <w:rPr>
          <w:rFonts w:ascii="仿宋" w:eastAsia="仿宋" w:hAnsi="仿宋" w:hint="eastAsia"/>
          <w:color w:val="333333"/>
          <w:spacing w:val="15"/>
          <w:sz w:val="24"/>
          <w:szCs w:val="24"/>
          <w:shd w:val="clear" w:color="auto" w:fill="FFFFFF"/>
        </w:rPr>
        <w:t>2020年累计开展学术讲座活动近100场</w:t>
      </w:r>
      <w:r>
        <w:rPr>
          <w:rFonts w:ascii="仿宋" w:eastAsia="仿宋" w:hAnsi="仿宋" w:hint="eastAsia"/>
          <w:sz w:val="24"/>
          <w:szCs w:val="24"/>
        </w:rPr>
        <w:t>。</w:t>
      </w:r>
    </w:p>
    <w:p w:rsidR="00A8634E" w:rsidRDefault="00A32507">
      <w:pPr>
        <w:pStyle w:val="3"/>
        <w:ind w:firstLine="480"/>
        <w:rPr>
          <w:rFonts w:ascii="仿宋" w:eastAsia="仿宋" w:hAnsi="仿宋"/>
          <w:sz w:val="24"/>
          <w:szCs w:val="24"/>
        </w:rPr>
      </w:pPr>
      <w:r>
        <w:rPr>
          <w:rFonts w:ascii="仿宋" w:eastAsia="仿宋" w:hAnsi="仿宋" w:hint="eastAsia"/>
          <w:sz w:val="24"/>
          <w:szCs w:val="24"/>
        </w:rPr>
        <w:t>注重开拓学生的国际视野，借助高水平大学及学科平台建设经费鼓励与资助师生参加国际、国内学术交流论坛及会议。与美国耶鲁大学、俄亥俄州立大学、新加坡国立大学、法国巴黎第七大学、日本神户商科大学等国外知名高校保持较经常的学术往来。通过“暨南大学讲座教授”方式聘请英国东安格利亚大学、香港中文大学、新加坡国立大学等经济学者与学位点青年教师、博士生开展科研合作。近5年，约有120 多人次的学生赴境外参加国际学术会议或学术交流。</w:t>
      </w:r>
    </w:p>
    <w:p w:rsidR="00A8634E" w:rsidRDefault="00A32507">
      <w:pPr>
        <w:spacing w:line="560" w:lineRule="exact"/>
        <w:ind w:firstLineChars="200" w:firstLine="480"/>
        <w:rPr>
          <w:rFonts w:ascii="黑体" w:eastAsia="黑体" w:hAnsi="黑体"/>
          <w:sz w:val="24"/>
        </w:rPr>
      </w:pPr>
      <w:r>
        <w:rPr>
          <w:rFonts w:ascii="黑体" w:eastAsia="黑体" w:hAnsi="黑体" w:hint="eastAsia"/>
          <w:sz w:val="24"/>
        </w:rPr>
        <w:t>（六）质量保障</w:t>
      </w:r>
    </w:p>
    <w:p w:rsidR="00A8634E" w:rsidRDefault="00A32507">
      <w:pPr>
        <w:pStyle w:val="3"/>
        <w:ind w:firstLine="480"/>
        <w:rPr>
          <w:rFonts w:ascii="仿宋" w:eastAsia="仿宋" w:hAnsi="仿宋"/>
          <w:sz w:val="24"/>
          <w:szCs w:val="24"/>
        </w:rPr>
      </w:pPr>
      <w:r>
        <w:rPr>
          <w:rFonts w:ascii="仿宋" w:eastAsia="仿宋" w:hAnsi="仿宋"/>
          <w:sz w:val="24"/>
          <w:szCs w:val="24"/>
        </w:rPr>
        <w:t>本学位点建立了完善的研究生开题、中期考核、预答辩和论文答辩管理制度和程序。通过在研究生不同培养阶段设置论文开题、中期考核、综合考试、论文预答辩及正式答辩等培养环节</w:t>
      </w:r>
      <w:r>
        <w:rPr>
          <w:rFonts w:ascii="仿宋" w:eastAsia="仿宋" w:hAnsi="仿宋" w:hint="eastAsia"/>
          <w:sz w:val="24"/>
          <w:szCs w:val="24"/>
        </w:rPr>
        <w:t>，</w:t>
      </w:r>
      <w:r>
        <w:rPr>
          <w:rFonts w:ascii="仿宋" w:eastAsia="仿宋" w:hAnsi="仿宋"/>
          <w:sz w:val="24"/>
          <w:szCs w:val="24"/>
        </w:rPr>
        <w:t>对暂时无法完成相应环节或确定不适宜继续培养的研究生采取相应的分流淘汰措施</w:t>
      </w:r>
      <w:r>
        <w:rPr>
          <w:rFonts w:ascii="仿宋" w:eastAsia="仿宋" w:hAnsi="仿宋" w:hint="eastAsia"/>
          <w:sz w:val="24"/>
          <w:szCs w:val="24"/>
        </w:rPr>
        <w:t>。</w:t>
      </w:r>
      <w:r>
        <w:rPr>
          <w:rFonts w:ascii="仿宋" w:eastAsia="仿宋" w:hAnsi="仿宋"/>
          <w:sz w:val="24"/>
          <w:szCs w:val="24"/>
        </w:rPr>
        <w:t>分流淘汰措施的严格执行，在最大限度上保证了研究生的培养质量，同时也对研究生在学期间的每个培养环节进行严格把关，并对研究生整体论文开展进度实施有效督促。</w:t>
      </w:r>
    </w:p>
    <w:p w:rsidR="00A8634E" w:rsidRDefault="00A32507">
      <w:pPr>
        <w:pStyle w:val="3"/>
        <w:ind w:firstLine="480"/>
        <w:rPr>
          <w:rFonts w:ascii="仿宋" w:eastAsia="仿宋" w:hAnsi="仿宋"/>
          <w:sz w:val="24"/>
          <w:szCs w:val="24"/>
        </w:rPr>
      </w:pPr>
      <w:r>
        <w:rPr>
          <w:rFonts w:ascii="仿宋" w:eastAsia="仿宋" w:hAnsi="仿宋" w:hint="eastAsia"/>
          <w:sz w:val="24"/>
          <w:szCs w:val="24"/>
        </w:rPr>
        <w:t>为保证本学科研究生学位论文质量，学位点与研究生部同时对学位论文层层把关，主要措施包括：（1）对所有博士、硕士学位论文在提交评阅申请前进行学术不端行为检测、全文格式严格审查，对达不到要求者坚决不予送审；</w:t>
      </w:r>
      <w:r>
        <w:rPr>
          <w:rFonts w:ascii="仿宋" w:eastAsia="仿宋" w:hAnsi="仿宋"/>
          <w:sz w:val="24"/>
          <w:szCs w:val="24"/>
        </w:rPr>
        <w:t>对于正式查重结果要求博士</w:t>
      </w:r>
      <w:r>
        <w:rPr>
          <w:rFonts w:ascii="仿宋" w:eastAsia="仿宋" w:hAnsi="仿宋" w:hint="eastAsia"/>
          <w:sz w:val="24"/>
          <w:szCs w:val="24"/>
        </w:rPr>
        <w:t>学位论文</w:t>
      </w:r>
      <w:r>
        <w:rPr>
          <w:rFonts w:ascii="仿宋" w:eastAsia="仿宋" w:hAnsi="仿宋"/>
          <w:sz w:val="24"/>
          <w:szCs w:val="24"/>
        </w:rPr>
        <w:t>≤10%，硕士</w:t>
      </w:r>
      <w:r>
        <w:rPr>
          <w:rFonts w:ascii="仿宋" w:eastAsia="仿宋" w:hAnsi="仿宋" w:hint="eastAsia"/>
          <w:sz w:val="24"/>
          <w:szCs w:val="24"/>
        </w:rPr>
        <w:t>学位论文</w:t>
      </w:r>
      <w:r>
        <w:rPr>
          <w:rFonts w:ascii="仿宋" w:eastAsia="仿宋" w:hAnsi="仿宋"/>
          <w:sz w:val="24"/>
          <w:szCs w:val="24"/>
        </w:rPr>
        <w:t>≤20%，均比学校研究生院要求的结果要低10个百分点</w:t>
      </w:r>
      <w:r>
        <w:rPr>
          <w:rFonts w:ascii="仿宋" w:eastAsia="仿宋" w:hAnsi="仿宋" w:hint="eastAsia"/>
          <w:sz w:val="24"/>
          <w:szCs w:val="24"/>
        </w:rPr>
        <w:t>；（2）实行预答辩（审查）和双盲评审制度，对于匿名评审未通过的学生，对博士论文实行盲评一票否决制，评阅有1票不通过，推迟答辩；（3）对学位论文答辩是否通过，进行无记名投票表决，还需对是否同意毕业进行投票，答辩委员会的整体表决结论是答辩通过方同意毕业。本学位点授予学位100%通过国家、省的学位论文抽检。</w:t>
      </w:r>
    </w:p>
    <w:p w:rsidR="00A8634E" w:rsidRDefault="00A32507">
      <w:pPr>
        <w:pStyle w:val="3"/>
        <w:ind w:firstLine="480"/>
        <w:rPr>
          <w:rFonts w:ascii="仿宋" w:eastAsia="仿宋" w:hAnsi="仿宋"/>
          <w:sz w:val="24"/>
          <w:szCs w:val="24"/>
        </w:rPr>
      </w:pPr>
      <w:r>
        <w:rPr>
          <w:rFonts w:ascii="仿宋" w:eastAsia="仿宋" w:hAnsi="仿宋"/>
          <w:sz w:val="24"/>
          <w:szCs w:val="24"/>
        </w:rPr>
        <w:t>为进一步提高我校博士生的培养质量，吸收优秀硕士研究生攻读博士学位，根据教育部和国务院学位委员会有关文件精神，特制定《暨南大学优秀硕士研究生硕博连读管理办法》，遴选优秀学生硕博连读。</w:t>
      </w:r>
    </w:p>
    <w:p w:rsidR="00A8634E" w:rsidRDefault="00A32507">
      <w:pPr>
        <w:spacing w:line="560" w:lineRule="exact"/>
        <w:ind w:firstLineChars="200" w:firstLine="480"/>
        <w:rPr>
          <w:rFonts w:ascii="黑体" w:eastAsia="黑体" w:hAnsi="黑体"/>
          <w:sz w:val="24"/>
        </w:rPr>
      </w:pPr>
      <w:r>
        <w:rPr>
          <w:rFonts w:ascii="黑体" w:eastAsia="黑体" w:hAnsi="黑体" w:hint="eastAsia"/>
          <w:sz w:val="24"/>
        </w:rPr>
        <w:t>（七）学风建设</w:t>
      </w:r>
    </w:p>
    <w:p w:rsidR="00A8634E" w:rsidRDefault="00A32507">
      <w:pPr>
        <w:pStyle w:val="3"/>
        <w:ind w:firstLine="480"/>
        <w:rPr>
          <w:rFonts w:ascii="仿宋" w:eastAsia="仿宋" w:hAnsi="仿宋"/>
          <w:sz w:val="24"/>
          <w:szCs w:val="24"/>
        </w:rPr>
      </w:pPr>
      <w:r>
        <w:rPr>
          <w:rFonts w:ascii="仿宋" w:eastAsia="仿宋" w:hAnsi="仿宋" w:hint="eastAsia"/>
          <w:sz w:val="24"/>
          <w:szCs w:val="24"/>
        </w:rPr>
        <w:t xml:space="preserve">加强研究生科学道德和学术规范教育建设工作，制定了《暨南大学关于研究生学位论文学术不端行为预防及处理暂行办法》，对属于学术不端行为进行处理。从新生入学开始，就通过开展科学道德和学术规范方面的宣讲会议、专题讲座进行教育，并在研究生培养体制机制上进行完善，通过毕业论文开题、中期检查、毕业论文预审查、多次论文查重和论文抽查等方式确保研究生论文质量，及时避免学术不端行为出现。在博士生和硕士生中全面开设《学术规范与论文撰写》必修课程，切实提升研究生科学道德和学术规范意识。           </w:t>
      </w:r>
    </w:p>
    <w:p w:rsidR="00A8634E" w:rsidRDefault="00A32507">
      <w:pPr>
        <w:spacing w:line="560" w:lineRule="exact"/>
        <w:ind w:firstLineChars="200" w:firstLine="480"/>
        <w:rPr>
          <w:rFonts w:ascii="黑体" w:eastAsia="黑体" w:hAnsi="黑体"/>
          <w:sz w:val="24"/>
        </w:rPr>
      </w:pPr>
      <w:r>
        <w:rPr>
          <w:rFonts w:ascii="黑体" w:eastAsia="黑体" w:hAnsi="黑体" w:hint="eastAsia"/>
          <w:sz w:val="24"/>
        </w:rPr>
        <w:t>（八）就业发展</w:t>
      </w:r>
    </w:p>
    <w:p w:rsidR="00A8634E" w:rsidRDefault="00A32507">
      <w:pPr>
        <w:pStyle w:val="3"/>
        <w:ind w:firstLine="480"/>
        <w:rPr>
          <w:rFonts w:ascii="仿宋" w:eastAsia="仿宋" w:hAnsi="仿宋"/>
          <w:sz w:val="24"/>
          <w:szCs w:val="24"/>
        </w:rPr>
      </w:pPr>
      <w:r>
        <w:rPr>
          <w:rFonts w:ascii="仿宋" w:eastAsia="仿宋" w:hAnsi="仿宋" w:hint="eastAsia"/>
          <w:sz w:val="24"/>
          <w:szCs w:val="24"/>
        </w:rPr>
        <w:t>本学位点</w:t>
      </w:r>
      <w:r>
        <w:rPr>
          <w:rFonts w:ascii="仿宋" w:eastAsia="仿宋" w:hAnsi="仿宋"/>
          <w:sz w:val="24"/>
          <w:szCs w:val="24"/>
        </w:rPr>
        <w:t>2020届研究生毕业生432人</w:t>
      </w:r>
      <w:hyperlink>
        <w:r>
          <w:rPr>
            <w:rFonts w:ascii="仿宋" w:eastAsia="仿宋" w:hAnsi="仿宋"/>
            <w:sz w:val="24"/>
            <w:szCs w:val="24"/>
          </w:rPr>
          <w:t>，</w:t>
        </w:r>
      </w:hyperlink>
      <w:r>
        <w:rPr>
          <w:rFonts w:ascii="仿宋" w:eastAsia="仿宋" w:hAnsi="仿宋"/>
          <w:sz w:val="24"/>
          <w:szCs w:val="24"/>
        </w:rPr>
        <w:t>实际需派遣硕士410人、博士生22人</w:t>
      </w:r>
      <w:hyperlink>
        <w:r>
          <w:rPr>
            <w:rFonts w:ascii="仿宋" w:eastAsia="仿宋" w:hAnsi="仿宋"/>
            <w:sz w:val="24"/>
            <w:szCs w:val="24"/>
          </w:rPr>
          <w:t>，在“广东省大学生就业创业智慧平台”</w:t>
        </w:r>
      </w:hyperlink>
      <w:r>
        <w:rPr>
          <w:rFonts w:ascii="仿宋" w:eastAsia="仿宋" w:hAnsi="仿宋"/>
          <w:sz w:val="24"/>
          <w:szCs w:val="24"/>
        </w:rPr>
        <w:t>系统签约400人，拟国内升学14人，拟出国境升学1人，截止至2020年12月</w:t>
      </w:r>
      <w:hyperlink>
        <w:r>
          <w:rPr>
            <w:rFonts w:ascii="仿宋" w:eastAsia="仿宋" w:hAnsi="仿宋"/>
            <w:sz w:val="24"/>
            <w:szCs w:val="24"/>
          </w:rPr>
          <w:t>31</w:t>
        </w:r>
      </w:hyperlink>
      <w:r>
        <w:rPr>
          <w:rFonts w:ascii="仿宋" w:eastAsia="仿宋" w:hAnsi="仿宋"/>
          <w:sz w:val="24"/>
          <w:szCs w:val="24"/>
        </w:rPr>
        <w:t>日，硕士研究生就业率95.85%，博士研究生就业率100%。</w:t>
      </w:r>
    </w:p>
    <w:p w:rsidR="00A8634E" w:rsidRDefault="00A32507">
      <w:pPr>
        <w:pStyle w:val="3"/>
        <w:ind w:firstLine="482"/>
        <w:jc w:val="center"/>
        <w:rPr>
          <w:rFonts w:ascii="微软雅黑" w:eastAsia="微软雅黑" w:hAnsi="微软雅黑"/>
          <w:sz w:val="21"/>
          <w:szCs w:val="21"/>
        </w:rPr>
      </w:pPr>
      <w:r>
        <w:rPr>
          <w:rFonts w:ascii="宋体" w:eastAsia="宋体" w:hAnsi="宋体"/>
          <w:b/>
          <w:bCs/>
          <w:sz w:val="24"/>
          <w:szCs w:val="24"/>
        </w:rPr>
        <w:t>2020届毕业生就业去向分布</w:t>
      </w:r>
    </w:p>
    <w:p w:rsidR="00A8634E" w:rsidRDefault="00A8634E">
      <w:pPr>
        <w:rPr>
          <w:rFonts w:ascii="宋体" w:eastAsia="宋体" w:hAnsi="宋体"/>
          <w:b/>
          <w:bCs/>
          <w:color w:val="000000"/>
          <w:sz w:val="21"/>
          <w:szCs w:val="21"/>
        </w:rPr>
      </w:pPr>
    </w:p>
    <w:p w:rsidR="00A8634E" w:rsidRDefault="00A32507">
      <w:pPr>
        <w:rPr>
          <w:rFonts w:ascii="等线" w:eastAsia="等线" w:hAnsi="等线"/>
          <w:b/>
          <w:bCs/>
          <w:color w:val="000000"/>
          <w:szCs w:val="21"/>
        </w:rPr>
      </w:pPr>
      <w:r>
        <w:rPr>
          <w:rFonts w:ascii="宋体" w:eastAsia="宋体" w:hAnsi="宋体"/>
          <w:b/>
          <w:bCs/>
          <w:color w:val="000000"/>
          <w:sz w:val="21"/>
          <w:szCs w:val="21"/>
        </w:rPr>
        <w:t>表1 2020届硕士毕业研究生就业去向分布情况</w:t>
      </w:r>
    </w:p>
    <w:tbl>
      <w:tblPr>
        <w:tblStyle w:val="ab"/>
        <w:tblW w:w="0" w:type="auto"/>
        <w:tblInd w:w="990" w:type="dxa"/>
        <w:tblLayout w:type="fixed"/>
        <w:tblCellMar>
          <w:top w:w="120" w:type="dxa"/>
          <w:left w:w="60" w:type="dxa"/>
          <w:bottom w:w="120" w:type="dxa"/>
          <w:right w:w="60" w:type="dxa"/>
        </w:tblCellMar>
        <w:tblLook w:val="04A0" w:firstRow="1" w:lastRow="0" w:firstColumn="1" w:lastColumn="0" w:noHBand="0" w:noVBand="1"/>
      </w:tblPr>
      <w:tblGrid>
        <w:gridCol w:w="3030"/>
        <w:gridCol w:w="1755"/>
        <w:gridCol w:w="1800"/>
      </w:tblGrid>
      <w:tr w:rsidR="00A8634E">
        <w:trPr>
          <w:trHeight w:val="270"/>
        </w:trPr>
        <w:tc>
          <w:tcPr>
            <w:tcW w:w="30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b/>
                <w:bCs/>
                <w:color w:val="000000"/>
                <w:sz w:val="18"/>
                <w:szCs w:val="18"/>
              </w:rPr>
              <w:t>行业类别</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b/>
                <w:bCs/>
                <w:color w:val="000000"/>
                <w:sz w:val="18"/>
                <w:szCs w:val="18"/>
              </w:rPr>
              <w:t>人数</w:t>
            </w:r>
          </w:p>
        </w:tc>
        <w:tc>
          <w:tcPr>
            <w:tcW w:w="18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b/>
                <w:bCs/>
                <w:color w:val="000000"/>
                <w:sz w:val="18"/>
                <w:szCs w:val="18"/>
              </w:rPr>
              <w:t>百分比</w:t>
            </w:r>
          </w:p>
        </w:tc>
      </w:tr>
      <w:tr w:rsidR="00A8634E">
        <w:trPr>
          <w:trHeight w:val="270"/>
        </w:trPr>
        <w:tc>
          <w:tcPr>
            <w:tcW w:w="30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国有企业</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171</w:t>
            </w:r>
          </w:p>
        </w:tc>
        <w:tc>
          <w:tcPr>
            <w:tcW w:w="18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41.71%</w:t>
            </w:r>
          </w:p>
        </w:tc>
      </w:tr>
      <w:tr w:rsidR="00A8634E">
        <w:trPr>
          <w:trHeight w:val="270"/>
        </w:trPr>
        <w:tc>
          <w:tcPr>
            <w:tcW w:w="30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民营企业</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139</w:t>
            </w:r>
          </w:p>
        </w:tc>
        <w:tc>
          <w:tcPr>
            <w:tcW w:w="18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33.90%</w:t>
            </w:r>
          </w:p>
        </w:tc>
      </w:tr>
      <w:tr w:rsidR="00A8634E">
        <w:trPr>
          <w:trHeight w:val="270"/>
        </w:trPr>
        <w:tc>
          <w:tcPr>
            <w:tcW w:w="30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党政机关</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12</w:t>
            </w:r>
          </w:p>
        </w:tc>
        <w:tc>
          <w:tcPr>
            <w:tcW w:w="18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2.93%</w:t>
            </w:r>
          </w:p>
        </w:tc>
      </w:tr>
      <w:tr w:rsidR="00A8634E">
        <w:trPr>
          <w:trHeight w:val="270"/>
        </w:trPr>
        <w:tc>
          <w:tcPr>
            <w:tcW w:w="30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三资企业</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28</w:t>
            </w:r>
          </w:p>
        </w:tc>
        <w:tc>
          <w:tcPr>
            <w:tcW w:w="18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6.83%</w:t>
            </w:r>
          </w:p>
        </w:tc>
      </w:tr>
      <w:tr w:rsidR="00A8634E">
        <w:trPr>
          <w:trHeight w:val="270"/>
        </w:trPr>
        <w:tc>
          <w:tcPr>
            <w:tcW w:w="30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升学深造</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15</w:t>
            </w:r>
          </w:p>
        </w:tc>
        <w:tc>
          <w:tcPr>
            <w:tcW w:w="18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3.66%</w:t>
            </w:r>
          </w:p>
        </w:tc>
      </w:tr>
      <w:tr w:rsidR="00A8634E">
        <w:trPr>
          <w:trHeight w:val="270"/>
        </w:trPr>
        <w:tc>
          <w:tcPr>
            <w:tcW w:w="30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高等教育单位</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15</w:t>
            </w:r>
          </w:p>
        </w:tc>
        <w:tc>
          <w:tcPr>
            <w:tcW w:w="18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3.66%</w:t>
            </w:r>
          </w:p>
        </w:tc>
      </w:tr>
      <w:tr w:rsidR="00A8634E">
        <w:trPr>
          <w:trHeight w:val="270"/>
        </w:trPr>
        <w:tc>
          <w:tcPr>
            <w:tcW w:w="30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中初等教育单位</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4</w:t>
            </w:r>
          </w:p>
        </w:tc>
        <w:tc>
          <w:tcPr>
            <w:tcW w:w="18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0.98%</w:t>
            </w:r>
          </w:p>
        </w:tc>
      </w:tr>
      <w:tr w:rsidR="00A8634E">
        <w:trPr>
          <w:trHeight w:val="270"/>
        </w:trPr>
        <w:tc>
          <w:tcPr>
            <w:tcW w:w="30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其他事业单位</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9</w:t>
            </w:r>
          </w:p>
        </w:tc>
        <w:tc>
          <w:tcPr>
            <w:tcW w:w="18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2.20%</w:t>
            </w:r>
          </w:p>
        </w:tc>
      </w:tr>
      <w:tr w:rsidR="00A8634E">
        <w:trPr>
          <w:trHeight w:val="270"/>
        </w:trPr>
        <w:tc>
          <w:tcPr>
            <w:tcW w:w="30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暂未就业</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17</w:t>
            </w:r>
          </w:p>
        </w:tc>
        <w:tc>
          <w:tcPr>
            <w:tcW w:w="18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4.15%</w:t>
            </w:r>
          </w:p>
        </w:tc>
      </w:tr>
    </w:tbl>
    <w:p w:rsidR="00A8634E" w:rsidRDefault="00A8634E">
      <w:pPr>
        <w:rPr>
          <w:rFonts w:ascii="宋体" w:eastAsia="宋体" w:hAnsi="宋体"/>
          <w:b/>
          <w:bCs/>
          <w:color w:val="000000"/>
          <w:sz w:val="21"/>
          <w:szCs w:val="21"/>
        </w:rPr>
      </w:pPr>
    </w:p>
    <w:p w:rsidR="00A8634E" w:rsidRDefault="00A32507">
      <w:pPr>
        <w:rPr>
          <w:rFonts w:ascii="微软雅黑" w:eastAsia="微软雅黑" w:hAnsi="微软雅黑"/>
          <w:color w:val="000000"/>
          <w:szCs w:val="21"/>
        </w:rPr>
      </w:pPr>
      <w:r>
        <w:rPr>
          <w:rFonts w:ascii="宋体" w:eastAsia="宋体" w:hAnsi="宋体"/>
          <w:b/>
          <w:bCs/>
          <w:color w:val="000000"/>
          <w:sz w:val="21"/>
          <w:szCs w:val="21"/>
        </w:rPr>
        <w:t>表2 经济学院2020届博士毕业研究生就业行业分布情况</w:t>
      </w:r>
    </w:p>
    <w:tbl>
      <w:tblPr>
        <w:tblStyle w:val="ab"/>
        <w:tblW w:w="0" w:type="auto"/>
        <w:tblInd w:w="990" w:type="dxa"/>
        <w:tblLayout w:type="fixed"/>
        <w:tblCellMar>
          <w:top w:w="120" w:type="dxa"/>
          <w:left w:w="60" w:type="dxa"/>
          <w:bottom w:w="120" w:type="dxa"/>
          <w:right w:w="60" w:type="dxa"/>
        </w:tblCellMar>
        <w:tblLook w:val="04A0" w:firstRow="1" w:lastRow="0" w:firstColumn="1" w:lastColumn="0" w:noHBand="0" w:noVBand="1"/>
      </w:tblPr>
      <w:tblGrid>
        <w:gridCol w:w="3060"/>
        <w:gridCol w:w="1740"/>
        <w:gridCol w:w="1830"/>
      </w:tblGrid>
      <w:tr w:rsidR="00A8634E">
        <w:trPr>
          <w:trHeight w:val="270"/>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b/>
                <w:bCs/>
                <w:color w:val="000000"/>
                <w:sz w:val="18"/>
                <w:szCs w:val="18"/>
              </w:rPr>
              <w:t>行业</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b/>
                <w:bCs/>
                <w:color w:val="000000"/>
                <w:sz w:val="18"/>
                <w:szCs w:val="18"/>
              </w:rPr>
              <w:t>人数</w:t>
            </w:r>
          </w:p>
        </w:tc>
        <w:tc>
          <w:tcPr>
            <w:tcW w:w="18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b/>
                <w:bCs/>
                <w:color w:val="000000"/>
                <w:sz w:val="18"/>
                <w:szCs w:val="18"/>
              </w:rPr>
              <w:t>百分比</w:t>
            </w:r>
          </w:p>
        </w:tc>
      </w:tr>
      <w:tr w:rsidR="00A8634E">
        <w:trPr>
          <w:trHeight w:val="270"/>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高等教育单位</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19</w:t>
            </w:r>
          </w:p>
        </w:tc>
        <w:tc>
          <w:tcPr>
            <w:tcW w:w="18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86.35%</w:t>
            </w:r>
          </w:p>
        </w:tc>
      </w:tr>
      <w:tr w:rsidR="00A8634E">
        <w:trPr>
          <w:trHeight w:val="270"/>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国有企业</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1</w:t>
            </w:r>
          </w:p>
        </w:tc>
        <w:tc>
          <w:tcPr>
            <w:tcW w:w="18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4.55%</w:t>
            </w:r>
          </w:p>
        </w:tc>
      </w:tr>
      <w:tr w:rsidR="00A8634E">
        <w:trPr>
          <w:trHeight w:val="270"/>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科研设计单位</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1</w:t>
            </w:r>
          </w:p>
        </w:tc>
        <w:tc>
          <w:tcPr>
            <w:tcW w:w="18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4.55%</w:t>
            </w:r>
          </w:p>
        </w:tc>
      </w:tr>
      <w:tr w:rsidR="00A8634E">
        <w:trPr>
          <w:trHeight w:val="270"/>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其他事业单位</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1</w:t>
            </w:r>
          </w:p>
        </w:tc>
        <w:tc>
          <w:tcPr>
            <w:tcW w:w="18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4.55%</w:t>
            </w:r>
          </w:p>
        </w:tc>
      </w:tr>
    </w:tbl>
    <w:p w:rsidR="00A8634E" w:rsidRDefault="00A32507">
      <w:pPr>
        <w:rPr>
          <w:rFonts w:ascii="仿宋" w:eastAsia="仿宋" w:hAnsi="仿宋"/>
          <w:color w:val="000000"/>
          <w:szCs w:val="21"/>
        </w:rPr>
      </w:pPr>
      <w:r>
        <w:rPr>
          <w:rFonts w:ascii="微软雅黑" w:eastAsia="微软雅黑" w:hAnsi="微软雅黑"/>
          <w:color w:val="000000"/>
          <w:sz w:val="21"/>
          <w:szCs w:val="21"/>
        </w:rPr>
        <w:t xml:space="preserve">    </w:t>
      </w:r>
      <w:r>
        <w:rPr>
          <w:rFonts w:ascii="仿宋" w:eastAsia="仿宋" w:hAnsi="仿宋"/>
          <w:color w:val="000000"/>
          <w:sz w:val="21"/>
          <w:szCs w:val="21"/>
        </w:rPr>
        <w:t>2020届硕士毕业生的就业主要集中在金融行业和其</w:t>
      </w:r>
      <w:r>
        <w:rPr>
          <w:rFonts w:ascii="仿宋" w:eastAsia="仿宋" w:hAnsi="仿宋" w:hint="eastAsia"/>
          <w:color w:val="000000"/>
          <w:sz w:val="21"/>
          <w:szCs w:val="21"/>
        </w:rPr>
        <w:t>他</w:t>
      </w:r>
      <w:r>
        <w:rPr>
          <w:rFonts w:ascii="仿宋" w:eastAsia="仿宋" w:hAnsi="仿宋"/>
          <w:color w:val="000000"/>
          <w:sz w:val="21"/>
          <w:szCs w:val="21"/>
        </w:rPr>
        <w:t>企事业单位，博士毕业生主要集中在高等教育科研单位。</w:t>
      </w:r>
    </w:p>
    <w:p w:rsidR="00A8634E" w:rsidRDefault="00A32507">
      <w:pPr>
        <w:snapToGrid w:val="0"/>
        <w:jc w:val="left"/>
        <w:rPr>
          <w:rFonts w:ascii="微软雅黑" w:eastAsia="微软雅黑" w:hAnsi="微软雅黑"/>
          <w:color w:val="000000"/>
          <w:szCs w:val="21"/>
        </w:rPr>
      </w:pPr>
      <w:r>
        <w:rPr>
          <w:rFonts w:ascii="仿宋" w:eastAsia="仿宋" w:hAnsi="仿宋"/>
          <w:color w:val="000000"/>
          <w:sz w:val="21"/>
          <w:szCs w:val="21"/>
        </w:rPr>
        <w:t xml:space="preserve"> </w:t>
      </w:r>
    </w:p>
    <w:p w:rsidR="00A8634E" w:rsidRDefault="00A32507">
      <w:pPr>
        <w:ind w:leftChars="-320" w:left="-1024"/>
        <w:jc w:val="center"/>
        <w:rPr>
          <w:rFonts w:ascii="宋体" w:eastAsia="宋体" w:hAnsi="宋体"/>
          <w:b/>
          <w:bCs/>
          <w:color w:val="000000"/>
          <w:sz w:val="24"/>
        </w:rPr>
      </w:pPr>
      <w:r>
        <w:rPr>
          <w:rFonts w:ascii="宋体" w:eastAsia="宋体" w:hAnsi="宋体"/>
          <w:b/>
          <w:bCs/>
          <w:color w:val="000000"/>
          <w:sz w:val="24"/>
        </w:rPr>
        <w:t>2020届毕业生就业地区分布</w:t>
      </w:r>
    </w:p>
    <w:p w:rsidR="00A8634E" w:rsidRDefault="00A8634E">
      <w:pPr>
        <w:rPr>
          <w:rFonts w:ascii="宋体" w:eastAsia="宋体" w:hAnsi="宋体"/>
          <w:b/>
          <w:bCs/>
          <w:color w:val="000000"/>
          <w:sz w:val="21"/>
          <w:szCs w:val="21"/>
        </w:rPr>
      </w:pPr>
    </w:p>
    <w:p w:rsidR="00A8634E" w:rsidRDefault="00A32507">
      <w:pPr>
        <w:rPr>
          <w:rFonts w:ascii="宋体" w:eastAsia="宋体" w:hAnsi="宋体"/>
          <w:b/>
          <w:bCs/>
          <w:color w:val="000000"/>
          <w:szCs w:val="21"/>
        </w:rPr>
      </w:pPr>
      <w:r>
        <w:rPr>
          <w:rFonts w:ascii="宋体" w:eastAsia="宋体" w:hAnsi="宋体"/>
          <w:b/>
          <w:bCs/>
          <w:color w:val="000000"/>
          <w:sz w:val="21"/>
          <w:szCs w:val="21"/>
        </w:rPr>
        <w:t>表3 2020届硕士毕业研究生就业地区分布情况</w:t>
      </w:r>
    </w:p>
    <w:tbl>
      <w:tblPr>
        <w:tblStyle w:val="ab"/>
        <w:tblW w:w="0" w:type="auto"/>
        <w:tblInd w:w="990" w:type="dxa"/>
        <w:tblLayout w:type="fixed"/>
        <w:tblCellMar>
          <w:top w:w="120" w:type="dxa"/>
          <w:left w:w="60" w:type="dxa"/>
          <w:bottom w:w="120" w:type="dxa"/>
          <w:right w:w="60" w:type="dxa"/>
        </w:tblCellMar>
        <w:tblLook w:val="04A0" w:firstRow="1" w:lastRow="0" w:firstColumn="1" w:lastColumn="0" w:noHBand="0" w:noVBand="1"/>
      </w:tblPr>
      <w:tblGrid>
        <w:gridCol w:w="3075"/>
        <w:gridCol w:w="1650"/>
        <w:gridCol w:w="1755"/>
      </w:tblGrid>
      <w:tr w:rsidR="00A8634E">
        <w:trPr>
          <w:trHeight w:val="270"/>
        </w:trPr>
        <w:tc>
          <w:tcPr>
            <w:tcW w:w="30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b/>
                <w:bCs/>
                <w:color w:val="000000"/>
                <w:sz w:val="18"/>
                <w:szCs w:val="18"/>
              </w:rPr>
              <w:t>地区</w:t>
            </w:r>
          </w:p>
        </w:tc>
        <w:tc>
          <w:tcPr>
            <w:tcW w:w="16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b/>
                <w:bCs/>
                <w:color w:val="000000"/>
                <w:sz w:val="18"/>
                <w:szCs w:val="18"/>
              </w:rPr>
              <w:t>人数</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b/>
                <w:bCs/>
                <w:color w:val="000000"/>
                <w:sz w:val="18"/>
                <w:szCs w:val="18"/>
              </w:rPr>
              <w:t>百分比</w:t>
            </w:r>
          </w:p>
        </w:tc>
      </w:tr>
      <w:tr w:rsidR="00A8634E">
        <w:trPr>
          <w:trHeight w:val="270"/>
        </w:trPr>
        <w:tc>
          <w:tcPr>
            <w:tcW w:w="30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广州</w:t>
            </w:r>
          </w:p>
        </w:tc>
        <w:tc>
          <w:tcPr>
            <w:tcW w:w="16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188</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45.85%</w:t>
            </w:r>
          </w:p>
        </w:tc>
      </w:tr>
      <w:tr w:rsidR="00A8634E">
        <w:trPr>
          <w:trHeight w:val="270"/>
        </w:trPr>
        <w:tc>
          <w:tcPr>
            <w:tcW w:w="30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深圳</w:t>
            </w:r>
          </w:p>
        </w:tc>
        <w:tc>
          <w:tcPr>
            <w:tcW w:w="16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83</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20.24%</w:t>
            </w:r>
          </w:p>
        </w:tc>
      </w:tr>
      <w:tr w:rsidR="00A8634E">
        <w:trPr>
          <w:trHeight w:val="270"/>
        </w:trPr>
        <w:tc>
          <w:tcPr>
            <w:tcW w:w="30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广东省内其他地区</w:t>
            </w:r>
          </w:p>
        </w:tc>
        <w:tc>
          <w:tcPr>
            <w:tcW w:w="16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37</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9.02%</w:t>
            </w:r>
          </w:p>
        </w:tc>
      </w:tr>
      <w:tr w:rsidR="00A8634E">
        <w:trPr>
          <w:trHeight w:val="270"/>
        </w:trPr>
        <w:tc>
          <w:tcPr>
            <w:tcW w:w="30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上海</w:t>
            </w:r>
          </w:p>
        </w:tc>
        <w:tc>
          <w:tcPr>
            <w:tcW w:w="16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11</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2.68%</w:t>
            </w:r>
          </w:p>
        </w:tc>
      </w:tr>
      <w:tr w:rsidR="00A8634E">
        <w:trPr>
          <w:trHeight w:val="270"/>
        </w:trPr>
        <w:tc>
          <w:tcPr>
            <w:tcW w:w="30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北京</w:t>
            </w:r>
          </w:p>
        </w:tc>
        <w:tc>
          <w:tcPr>
            <w:tcW w:w="16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6</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1.46%</w:t>
            </w:r>
          </w:p>
        </w:tc>
      </w:tr>
      <w:tr w:rsidR="00A8634E">
        <w:trPr>
          <w:trHeight w:val="270"/>
        </w:trPr>
        <w:tc>
          <w:tcPr>
            <w:tcW w:w="30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宋体" w:eastAsia="宋体" w:hAnsi="宋体"/>
                <w:color w:val="000000"/>
                <w:sz w:val="18"/>
                <w:szCs w:val="18"/>
              </w:rPr>
              <w:t>其他地区</w:t>
            </w:r>
          </w:p>
        </w:tc>
        <w:tc>
          <w:tcPr>
            <w:tcW w:w="16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85</w:t>
            </w:r>
          </w:p>
        </w:tc>
        <w:tc>
          <w:tcPr>
            <w:tcW w:w="17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 w:val="18"/>
                <w:szCs w:val="18"/>
              </w:rPr>
            </w:pPr>
            <w:r>
              <w:rPr>
                <w:rFonts w:ascii="Calibri,sans-serif" w:eastAsia="Calibri,sans-serif" w:hAnsi="Calibri,sans-serif"/>
                <w:color w:val="000000"/>
                <w:sz w:val="18"/>
                <w:szCs w:val="18"/>
              </w:rPr>
              <w:t>20.73%</w:t>
            </w:r>
          </w:p>
        </w:tc>
      </w:tr>
    </w:tbl>
    <w:p w:rsidR="00A8634E" w:rsidRDefault="00A32507">
      <w:pPr>
        <w:snapToGrid w:val="0"/>
        <w:jc w:val="left"/>
        <w:rPr>
          <w:rFonts w:ascii="微软雅黑" w:eastAsia="微软雅黑" w:hAnsi="微软雅黑"/>
          <w:color w:val="000000"/>
          <w:szCs w:val="21"/>
        </w:rPr>
      </w:pPr>
      <w:r>
        <w:rPr>
          <w:rFonts w:ascii="微软雅黑" w:eastAsia="微软雅黑" w:hAnsi="微软雅黑"/>
          <w:color w:val="000000"/>
          <w:sz w:val="21"/>
          <w:szCs w:val="21"/>
        </w:rPr>
        <w:t xml:space="preserve"> </w:t>
      </w:r>
    </w:p>
    <w:p w:rsidR="00A8634E" w:rsidRDefault="00A32507">
      <w:pPr>
        <w:rPr>
          <w:rFonts w:ascii="等线" w:eastAsia="等线" w:hAnsi="等线"/>
          <w:b/>
          <w:bCs/>
          <w:color w:val="000000"/>
          <w:szCs w:val="21"/>
        </w:rPr>
      </w:pPr>
      <w:r>
        <w:rPr>
          <w:rFonts w:ascii="宋体" w:eastAsia="宋体" w:hAnsi="宋体"/>
          <w:b/>
          <w:bCs/>
          <w:color w:val="000000"/>
          <w:sz w:val="21"/>
          <w:szCs w:val="21"/>
        </w:rPr>
        <w:t>表4 经济学院2020届博士毕业研究生就业地区分布情况</w:t>
      </w:r>
    </w:p>
    <w:tbl>
      <w:tblPr>
        <w:tblStyle w:val="ab"/>
        <w:tblW w:w="0" w:type="auto"/>
        <w:tblInd w:w="990" w:type="dxa"/>
        <w:tblLayout w:type="fixed"/>
        <w:tblCellMar>
          <w:top w:w="120" w:type="dxa"/>
          <w:left w:w="60" w:type="dxa"/>
          <w:bottom w:w="120" w:type="dxa"/>
          <w:right w:w="60" w:type="dxa"/>
        </w:tblCellMar>
        <w:tblLook w:val="04A0" w:firstRow="1" w:lastRow="0" w:firstColumn="1" w:lastColumn="0" w:noHBand="0" w:noVBand="1"/>
      </w:tblPr>
      <w:tblGrid>
        <w:gridCol w:w="3060"/>
        <w:gridCol w:w="1740"/>
        <w:gridCol w:w="1740"/>
      </w:tblGrid>
      <w:tr w:rsidR="00A8634E">
        <w:trPr>
          <w:trHeight w:val="270"/>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宋体" w:eastAsia="宋体" w:hAnsi="宋体"/>
                <w:b/>
                <w:bCs/>
                <w:color w:val="000000"/>
                <w:sz w:val="21"/>
                <w:szCs w:val="21"/>
              </w:rPr>
              <w:t>地区</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宋体" w:eastAsia="宋体" w:hAnsi="宋体"/>
                <w:b/>
                <w:bCs/>
                <w:color w:val="000000"/>
                <w:sz w:val="21"/>
                <w:szCs w:val="21"/>
              </w:rPr>
              <w:t>人数</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宋体" w:eastAsia="宋体" w:hAnsi="宋体"/>
                <w:b/>
                <w:bCs/>
                <w:color w:val="000000"/>
                <w:sz w:val="21"/>
                <w:szCs w:val="21"/>
              </w:rPr>
              <w:t>百分比</w:t>
            </w:r>
          </w:p>
        </w:tc>
      </w:tr>
      <w:tr w:rsidR="00A8634E">
        <w:trPr>
          <w:trHeight w:val="270"/>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宋体" w:eastAsia="宋体" w:hAnsi="宋体"/>
                <w:color w:val="000000"/>
                <w:sz w:val="21"/>
                <w:szCs w:val="21"/>
              </w:rPr>
              <w:t>广州</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Calibri,sans-serif" w:eastAsia="Calibri,sans-serif" w:hAnsi="Calibri,sans-serif"/>
                <w:color w:val="000000"/>
                <w:sz w:val="21"/>
                <w:szCs w:val="21"/>
              </w:rPr>
              <w:t>10</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Calibri,sans-serif" w:eastAsia="Calibri,sans-serif" w:hAnsi="Calibri,sans-serif"/>
                <w:color w:val="000000"/>
                <w:sz w:val="21"/>
                <w:szCs w:val="21"/>
              </w:rPr>
              <w:t>45.45%</w:t>
            </w:r>
          </w:p>
        </w:tc>
      </w:tr>
      <w:tr w:rsidR="00A8634E">
        <w:trPr>
          <w:trHeight w:val="270"/>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宋体" w:eastAsia="宋体" w:hAnsi="宋体"/>
                <w:color w:val="000000"/>
                <w:sz w:val="21"/>
                <w:szCs w:val="21"/>
              </w:rPr>
              <w:t>深圳</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Calibri,sans-serif" w:eastAsia="Calibri,sans-serif" w:hAnsi="Calibri,sans-serif"/>
                <w:color w:val="000000"/>
                <w:sz w:val="21"/>
                <w:szCs w:val="21"/>
              </w:rPr>
              <w:t>1</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Calibri,sans-serif" w:eastAsia="Calibri,sans-serif" w:hAnsi="Calibri,sans-serif"/>
                <w:color w:val="000000"/>
                <w:sz w:val="21"/>
                <w:szCs w:val="21"/>
              </w:rPr>
              <w:t>4.55%</w:t>
            </w:r>
          </w:p>
        </w:tc>
      </w:tr>
      <w:tr w:rsidR="00A8634E">
        <w:trPr>
          <w:trHeight w:val="270"/>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宋体" w:eastAsia="宋体" w:hAnsi="宋体"/>
                <w:color w:val="000000"/>
                <w:sz w:val="21"/>
                <w:szCs w:val="21"/>
              </w:rPr>
              <w:t>广东省内其他地区</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Calibri,sans-serif" w:eastAsia="Calibri,sans-serif" w:hAnsi="Calibri,sans-serif"/>
                <w:color w:val="000000"/>
                <w:sz w:val="21"/>
                <w:szCs w:val="21"/>
              </w:rPr>
              <w:t>3</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Calibri,sans-serif" w:eastAsia="Calibri,sans-serif" w:hAnsi="Calibri,sans-serif"/>
                <w:color w:val="000000"/>
                <w:sz w:val="21"/>
                <w:szCs w:val="21"/>
              </w:rPr>
              <w:t>13.64%</w:t>
            </w:r>
          </w:p>
        </w:tc>
      </w:tr>
      <w:tr w:rsidR="00A8634E">
        <w:trPr>
          <w:trHeight w:val="270"/>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宋体" w:eastAsia="宋体" w:hAnsi="宋体"/>
                <w:color w:val="000000"/>
                <w:sz w:val="21"/>
                <w:szCs w:val="21"/>
              </w:rPr>
              <w:t>广东省外</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Calibri,sans-serif" w:eastAsia="Calibri,sans-serif" w:hAnsi="Calibri,sans-serif"/>
                <w:color w:val="000000"/>
                <w:sz w:val="21"/>
                <w:szCs w:val="21"/>
              </w:rPr>
              <w:t>8</w:t>
            </w:r>
          </w:p>
        </w:tc>
        <w:tc>
          <w:tcPr>
            <w:tcW w:w="17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8634E" w:rsidRDefault="00A32507">
            <w:pPr>
              <w:snapToGrid w:val="0"/>
              <w:jc w:val="left"/>
              <w:rPr>
                <w:rFonts w:ascii="微软雅黑" w:eastAsia="微软雅黑" w:hAnsi="微软雅黑"/>
                <w:color w:val="000000"/>
                <w:szCs w:val="21"/>
              </w:rPr>
            </w:pPr>
            <w:r>
              <w:rPr>
                <w:rFonts w:ascii="Calibri,sans-serif" w:eastAsia="Calibri,sans-serif" w:hAnsi="Calibri,sans-serif"/>
                <w:color w:val="000000"/>
                <w:sz w:val="21"/>
                <w:szCs w:val="21"/>
              </w:rPr>
              <w:t>36.36%</w:t>
            </w:r>
          </w:p>
        </w:tc>
      </w:tr>
    </w:tbl>
    <w:p w:rsidR="00A8634E" w:rsidRDefault="00A32507">
      <w:pPr>
        <w:rPr>
          <w:rFonts w:ascii="等线" w:eastAsia="等线" w:hAnsi="等线"/>
          <w:b/>
          <w:bCs/>
          <w:color w:val="000000"/>
          <w:szCs w:val="21"/>
        </w:rPr>
      </w:pPr>
      <w:r>
        <w:rPr>
          <w:rFonts w:ascii="微软雅黑" w:eastAsia="微软雅黑" w:hAnsi="微软雅黑"/>
          <w:color w:val="000000"/>
          <w:sz w:val="21"/>
          <w:szCs w:val="21"/>
        </w:rPr>
        <w:t xml:space="preserve"> </w:t>
      </w:r>
      <w:r>
        <w:rPr>
          <w:rFonts w:ascii="仿宋" w:eastAsia="仿宋" w:hAnsi="仿宋"/>
          <w:color w:val="000000"/>
          <w:sz w:val="21"/>
          <w:szCs w:val="21"/>
        </w:rPr>
        <w:t>研究生毕业生中，超过7成的研究生都选择留在广东就业，其中以广州市最多，其次为深圳。</w:t>
      </w:r>
    </w:p>
    <w:p w:rsidR="00A8634E" w:rsidRDefault="00A32507">
      <w:pPr>
        <w:spacing w:afterLines="50" w:after="156" w:line="560" w:lineRule="exact"/>
        <w:ind w:firstLineChars="200" w:firstLine="640"/>
        <w:rPr>
          <w:rFonts w:ascii="黑体" w:eastAsia="黑体" w:hAnsi="黑体"/>
        </w:rPr>
      </w:pPr>
      <w:r>
        <w:rPr>
          <w:rFonts w:ascii="黑体" w:eastAsia="黑体" w:hAnsi="黑体" w:hint="eastAsia"/>
        </w:rPr>
        <w:t>四、服务贡献</w:t>
      </w:r>
    </w:p>
    <w:p w:rsidR="00A8634E" w:rsidRDefault="00A32507">
      <w:pPr>
        <w:spacing w:line="600" w:lineRule="exact"/>
        <w:ind w:firstLineChars="200" w:firstLine="480"/>
        <w:rPr>
          <w:rFonts w:ascii="仿宋" w:eastAsia="仿宋" w:hAnsi="仿宋"/>
          <w:sz w:val="24"/>
        </w:rPr>
      </w:pPr>
      <w:r>
        <w:rPr>
          <w:rFonts w:ascii="仿宋" w:eastAsia="仿宋" w:hAnsi="仿宋" w:hint="eastAsia"/>
          <w:sz w:val="24"/>
        </w:rPr>
        <w:t>学科依托完整的学科体系和科研实力，积极服务国家和地方经济社会发展。</w:t>
      </w:r>
    </w:p>
    <w:p w:rsidR="00A8634E" w:rsidRDefault="00A32507">
      <w:pPr>
        <w:spacing w:line="600" w:lineRule="exact"/>
        <w:ind w:firstLineChars="200" w:firstLine="480"/>
        <w:rPr>
          <w:rFonts w:ascii="仿宋" w:eastAsia="仿宋" w:hAnsi="仿宋"/>
          <w:sz w:val="24"/>
        </w:rPr>
      </w:pPr>
      <w:r>
        <w:rPr>
          <w:rFonts w:ascii="仿宋" w:eastAsia="仿宋" w:hAnsi="仿宋" w:hint="eastAsia"/>
          <w:sz w:val="24"/>
        </w:rPr>
        <w:t>1. 宣讲中央精神。学科教师是面向粤港澳大湾区宣传习近平总书记重要讲话精神和国内外经济政治形势的重要力量。教师紧跟中央形势坚持理论学习，20 余位教师担任广东省委宣传部经济形势宣讲团成员广东省委“两学一做”巡回宣讲团成员、学校党的十九大精神宣讲团成员等，为广东省直机关、广州市直机关、国务院侨办等中央部委相关涉外培训班、香港特别行政区公务员培训班、澳门公务员培训班等开展习近平总书记系列重要讲话精神、国内外经济形势新格局等相关专题讲座数百场，受众（含线上）达 20 余万人次,是粤港澳大湾区经济政治形势宣传的重要力量。</w:t>
      </w:r>
    </w:p>
    <w:p w:rsidR="00A8634E" w:rsidRDefault="00A32507">
      <w:pPr>
        <w:spacing w:line="600" w:lineRule="exact"/>
        <w:ind w:firstLineChars="200" w:firstLine="480"/>
        <w:rPr>
          <w:rFonts w:ascii="仿宋" w:eastAsia="仿宋" w:hAnsi="仿宋"/>
          <w:sz w:val="24"/>
        </w:rPr>
      </w:pPr>
      <w:r>
        <w:rPr>
          <w:rFonts w:ascii="仿宋" w:eastAsia="仿宋" w:hAnsi="仿宋" w:hint="eastAsia"/>
          <w:sz w:val="24"/>
        </w:rPr>
        <w:t>2</w:t>
      </w:r>
      <w:r>
        <w:rPr>
          <w:rFonts w:ascii="仿宋" w:eastAsia="仿宋" w:hAnsi="仿宋"/>
          <w:sz w:val="24"/>
        </w:rPr>
        <w:t>.</w:t>
      </w:r>
      <w:r>
        <w:rPr>
          <w:rFonts w:ascii="仿宋" w:eastAsia="仿宋" w:hAnsi="仿宋" w:hint="eastAsia"/>
          <w:sz w:val="24"/>
        </w:rPr>
        <w:t>拓展国际</w:t>
      </w:r>
      <w:r>
        <w:rPr>
          <w:rFonts w:ascii="仿宋" w:eastAsia="仿宋" w:hAnsi="仿宋"/>
          <w:sz w:val="24"/>
        </w:rPr>
        <w:t>人文交流。依托引智基地与诺奖得主赫克曼教授开展深度合作；创建“芝加哥-暨南人类发展研究联合计划”，致力于人口流动、收入不平等</w:t>
      </w:r>
      <w:r>
        <w:rPr>
          <w:rFonts w:ascii="仿宋" w:eastAsia="仿宋" w:hAnsi="仿宋" w:hint="eastAsia"/>
          <w:sz w:val="24"/>
        </w:rPr>
        <w:t>、乡村振兴</w:t>
      </w:r>
      <w:r>
        <w:rPr>
          <w:rFonts w:ascii="仿宋" w:eastAsia="仿宋" w:hAnsi="仿宋"/>
          <w:sz w:val="24"/>
        </w:rPr>
        <w:t>等重大问题研究。经由暨南大学推荐，赫克曼教授荣获 “中国政府友谊奖”。</w:t>
      </w:r>
      <w:r>
        <w:rPr>
          <w:rFonts w:ascii="仿宋" w:eastAsia="仿宋" w:hAnsi="仿宋" w:hint="eastAsia"/>
          <w:sz w:val="24"/>
          <w:shd w:val="clear" w:color="auto" w:fill="F7F7F7"/>
        </w:rPr>
        <w:t>2020年，芝加哥大学经济学教授、Journal of Political Economy共同主编（Editor）Greg Kaplan教授，哈佛大学教授、全球著名城市经济学家、《城市的胜利》作者Edward Glaeser教授等全球知名学者受“大师暨南行”邀请，开展学术讲座交流，引起广泛反向。</w:t>
      </w:r>
    </w:p>
    <w:p w:rsidR="00A8634E" w:rsidRDefault="00A32507">
      <w:pPr>
        <w:spacing w:line="600" w:lineRule="exact"/>
        <w:ind w:firstLineChars="200" w:firstLine="480"/>
        <w:rPr>
          <w:rFonts w:ascii="仿宋" w:eastAsia="仿宋" w:hAnsi="仿宋"/>
          <w:sz w:val="24"/>
        </w:rPr>
      </w:pPr>
      <w:r>
        <w:rPr>
          <w:rFonts w:ascii="仿宋" w:eastAsia="仿宋" w:hAnsi="仿宋" w:hint="eastAsia"/>
          <w:sz w:val="24"/>
        </w:rPr>
        <w:t>3. 积极建言献策。学科教师发布新冠肺炎、粤港澳大湾区26条金融支持政策解读、两会热点解读等相关研究成果数十篇。7项成果获得国家级及省市领导批示，其中1项获得中共中央政治局常委、国务院总理李克强批示。</w:t>
      </w:r>
      <w:r>
        <w:rPr>
          <w:rFonts w:ascii="仿宋" w:eastAsia="仿宋" w:hAnsi="仿宋"/>
          <w:sz w:val="24"/>
        </w:rPr>
        <w:t>发挥金融学、产业经济学国家重点学科优势，依托广东省协同创新中心及 3 个省级重点研究基地，围绕防范金融风险与金融强省、乡村振兴与脱贫攻坚、现代产业体系与经济高质量发展等重大发展战略问题，向各级政府提供上百份研究与决策咨询报告，得到各级领导的充分肯定</w:t>
      </w:r>
      <w:r>
        <w:rPr>
          <w:rFonts w:ascii="仿宋" w:eastAsia="仿宋" w:hAnsi="仿宋" w:hint="eastAsia"/>
          <w:sz w:val="24"/>
        </w:rPr>
        <w:t>。</w:t>
      </w:r>
    </w:p>
    <w:p w:rsidR="00A8634E" w:rsidRDefault="00A32507">
      <w:pPr>
        <w:spacing w:line="600" w:lineRule="exact"/>
        <w:ind w:firstLineChars="200" w:firstLine="480"/>
        <w:rPr>
          <w:rFonts w:ascii="仿宋" w:eastAsia="仿宋" w:hAnsi="仿宋"/>
          <w:sz w:val="24"/>
        </w:rPr>
      </w:pPr>
      <w:r>
        <w:rPr>
          <w:rFonts w:ascii="仿宋" w:eastAsia="仿宋" w:hAnsi="仿宋"/>
          <w:sz w:val="24"/>
        </w:rPr>
        <w:t>4.</w:t>
      </w:r>
      <w:r>
        <w:rPr>
          <w:rFonts w:ascii="仿宋" w:eastAsia="仿宋" w:hAnsi="仿宋" w:hint="eastAsia"/>
          <w:sz w:val="24"/>
        </w:rPr>
        <w:t>打造高端</w:t>
      </w:r>
      <w:r>
        <w:rPr>
          <w:rFonts w:ascii="仿宋" w:eastAsia="仿宋" w:hAnsi="仿宋"/>
          <w:sz w:val="24"/>
        </w:rPr>
        <w:t>智库。以平台建设为抓手，打造服务粤港澳大湾区 “智高点”。紧紧围绕国家所需、湾区所向，发挥暨大所长，建设多个高端智库：</w:t>
      </w:r>
      <w:r>
        <w:rPr>
          <w:rFonts w:ascii="仿宋" w:eastAsia="仿宋" w:hAnsi="仿宋" w:hint="eastAsia"/>
          <w:sz w:val="24"/>
        </w:rPr>
        <w:t>南方高等金融研究院、</w:t>
      </w:r>
      <w:r>
        <w:rPr>
          <w:rFonts w:ascii="仿宋" w:eastAsia="仿宋" w:hAnsi="仿宋"/>
          <w:sz w:val="24"/>
        </w:rPr>
        <w:t>特区港澳经济研究所（主体）、广东产业发展与粤港澳台区域合作研究中心、粤港澳大湾区经济发展研究中心、 “一带一路”与粤港澳大湾区研究院（国家发改委共建）、中国自由贸易试验区研究院，已经成为服务粤港澳大湾区建设的重要智库群。</w:t>
      </w:r>
    </w:p>
    <w:p w:rsidR="00A8634E" w:rsidRDefault="00A8634E">
      <w:pPr>
        <w:rPr>
          <w:rFonts w:ascii="仿宋" w:eastAsia="仿宋" w:hAnsi="仿宋"/>
          <w:sz w:val="24"/>
        </w:rPr>
      </w:pPr>
    </w:p>
    <w:sectPr w:rsidR="00A8634E">
      <w:footerReference w:type="default" r:id="rId10"/>
      <w:pgSz w:w="11906" w:h="16838"/>
      <w:pgMar w:top="1440" w:right="1800" w:bottom="1440" w:left="1800" w:header="851" w:footer="992"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C261A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543" w:rsidRDefault="00522543">
      <w:r>
        <w:separator/>
      </w:r>
    </w:p>
  </w:endnote>
  <w:endnote w:type="continuationSeparator" w:id="0">
    <w:p w:rsidR="00522543" w:rsidRDefault="0052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w:altName w:val="Arial Unicode MS"/>
    <w:charset w:val="86"/>
    <w:family w:val="auto"/>
    <w:pitch w:val="default"/>
    <w:sig w:usb0="00000000" w:usb1="38CF7CFA" w:usb2="00000016" w:usb3="00000000" w:csb0="0004000F" w:csb1="00000000"/>
  </w:font>
  <w:font w:name="Calibri,sans-serif">
    <w:altName w:val="Calibri"/>
    <w:charset w:val="00"/>
    <w:family w:val="roman"/>
    <w:pitch w:val="default"/>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34E" w:rsidRDefault="00A32507">
    <w:pPr>
      <w:pStyle w:val="a7"/>
      <w:widowControl/>
      <w:textAlignment w:val="baseline"/>
      <w:rPr>
        <w:rStyle w:val="NormalCharacter"/>
        <w:rFonts w:ascii="Times New Roman" w:eastAsia="宋体" w:hAnsi="Times New Roman"/>
        <w:sz w:val="18"/>
        <w:szCs w:val="18"/>
      </w:rP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8634E" w:rsidRDefault="00A32507">
                          <w:pPr>
                            <w:pStyle w:val="a7"/>
                          </w:pPr>
                          <w:r>
                            <w:rPr>
                              <w:rFonts w:hint="eastAsia"/>
                            </w:rPr>
                            <w:fldChar w:fldCharType="begin"/>
                          </w:r>
                          <w:r>
                            <w:rPr>
                              <w:rFonts w:hint="eastAsia"/>
                            </w:rPr>
                            <w:instrText xml:space="preserve"> PAGE  \* MERGEFORMAT </w:instrText>
                          </w:r>
                          <w:r>
                            <w:rPr>
                              <w:rFonts w:hint="eastAsia"/>
                            </w:rPr>
                            <w:fldChar w:fldCharType="separate"/>
                          </w:r>
                          <w:r w:rsidR="00522543">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1" o:spid="_x0000_s1026"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LxBcYxhAgAADAUAAA4AAAAAAAAAAAAAAAAALgIAAGRycy9lMm9Eb2MueG1s&#10;UEsBAi0AFAAGAAgAAAAhAHGq0bnXAAAABQEAAA8AAAAAAAAAAAAAAAAAuwQAAGRycy9kb3ducmV2&#10;LnhtbFBLBQYAAAAABAAEAPMAAAC/BQAAAAA=&#10;" filled="f" stroked="f" strokeweight=".5pt">
              <v:textbox style="mso-fit-shape-to-text:t" inset="0,0,0,0">
                <w:txbxContent>
                  <w:p w:rsidR="00A8634E" w:rsidRDefault="00A32507">
                    <w:pPr>
                      <w:pStyle w:val="a7"/>
                    </w:pPr>
                    <w:r>
                      <w:rPr>
                        <w:rFonts w:hint="eastAsia"/>
                      </w:rPr>
                      <w:fldChar w:fldCharType="begin"/>
                    </w:r>
                    <w:r>
                      <w:rPr>
                        <w:rFonts w:hint="eastAsia"/>
                      </w:rPr>
                      <w:instrText xml:space="preserve"> PAGE  \* MERGEFORMAT </w:instrText>
                    </w:r>
                    <w:r>
                      <w:rPr>
                        <w:rFonts w:hint="eastAsia"/>
                      </w:rPr>
                      <w:fldChar w:fldCharType="separate"/>
                    </w:r>
                    <w:r w:rsidR="00522543">
                      <w:rPr>
                        <w:noProof/>
                      </w:rPr>
                      <w:t>1</w:t>
                    </w:r>
                    <w:r>
                      <w:rPr>
                        <w:rFonts w:hint="eastAsia"/>
                      </w:rPr>
                      <w:fldChar w:fldCharType="end"/>
                    </w:r>
                  </w:p>
                </w:txbxContent>
              </v:textbox>
              <w10:wrap anchorx="margin"/>
            </v:shape>
          </w:pict>
        </mc:Fallback>
      </mc:AlternateContent>
    </w:r>
    <w:r>
      <w:rPr>
        <w:rStyle w:val="NormalCharacter"/>
        <w:rFonts w:ascii="Times New Roman" w:eastAsia="宋体" w:hAnsi="Times New Roman"/>
        <w:noProof/>
        <w:sz w:val="18"/>
        <w:szCs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8255</wp:posOffset>
              </wp:positionV>
              <wp:extent cx="1828800" cy="1828800"/>
              <wp:effectExtent l="0" t="0" r="0" b="0"/>
              <wp:wrapNone/>
              <wp:docPr id="1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A8634E" w:rsidRDefault="00A8634E">
                          <w:pPr>
                            <w:pStyle w:val="a7"/>
                            <w:widowControl/>
                            <w:jc w:val="both"/>
                            <w:textAlignment w:val="baseline"/>
                            <w:rPr>
                              <w:rStyle w:val="NormalCharacter"/>
                              <w:rFonts w:ascii="Times New Roman" w:eastAsia="宋体" w:hAnsi="Times New Roman"/>
                              <w:sz w:val="20"/>
                              <w:szCs w:val="18"/>
                            </w:rPr>
                          </w:pPr>
                        </w:p>
                        <w:p w:rsidR="00A8634E" w:rsidRDefault="00A8634E">
                          <w:pPr>
                            <w:textAlignment w:val="baseline"/>
                            <w:rPr>
                              <w:rStyle w:val="NormalCharacter"/>
                              <w:rFonts w:ascii="Times New Roman" w:eastAsia="宋体" w:hAnsi="Times New Roman"/>
                              <w:sz w:val="21"/>
                            </w:rPr>
                          </w:pPr>
                        </w:p>
                      </w:txbxContent>
                    </wps:txbx>
                    <wps:bodyPr lIns="0" tIns="0" rIns="0" bIns="0" upright="1"/>
                  </wps:wsp>
                </a:graphicData>
              </a:graphic>
            </wp:anchor>
          </w:drawing>
        </mc:Choice>
        <mc:Fallback xmlns:w15="http://schemas.microsoft.com/office/word/2012/wordml" xmlns:wpsCustomData="http://www.wps.cn/officeDocument/2013/wpsCustomData">
          <w:pict>
            <v:shape id="文本框 1" o:spid="_x0000_s1026" o:spt="202" type="#_x0000_t202" style="position:absolute;left:0pt;margin-top:0.65pt;height:144pt;width:144pt;mso-position-horizontal:center;mso-position-horizontal-relative:margin;z-index:251660288;mso-width-relative:page;mso-height-relative:page;" filled="f" stroked="f" coordsize="21600,21600" o:gfxdata="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0eqWU1QAAAAYBAAAPAAAAAAAAAAEAIAAAACIAAABkcnMvZG93bnJldi54bWxQSwEC&#10;FAAUAAAACACHTuJAPY5Ihr4BAAB+AwAADgAAAAAAAAABACAAAAAkAQAAZHJzL2Uyb0RvYy54bWxQ&#10;SwUGAAAAAAYABgBZAQAAVAUAAAAA&#10;">
              <v:fill on="f" focussize="0,0"/>
              <v:stroke on="f" weight="1.25pt"/>
              <v:imagedata o:title=""/>
              <o:lock v:ext="edit" aspectratio="f"/>
              <v:textbox inset="0mm,0mm,0mm,0mm">
                <w:txbxContent>
                  <w:p w14:paraId="04A2F5FA">
                    <w:pPr>
                      <w:pStyle w:val="8"/>
                      <w:widowControl/>
                      <w:jc w:val="both"/>
                      <w:textAlignment w:val="baseline"/>
                      <w:rPr>
                        <w:rStyle w:val="23"/>
                        <w:rFonts w:ascii="Times New Roman" w:hAnsi="Times New Roman" w:eastAsia="宋体"/>
                        <w:sz w:val="20"/>
                        <w:szCs w:val="18"/>
                      </w:rPr>
                    </w:pPr>
                  </w:p>
                  <w:p w14:paraId="02A05CC8">
                    <w:pPr>
                      <w:textAlignment w:val="baseline"/>
                      <w:rPr>
                        <w:rStyle w:val="23"/>
                        <w:rFonts w:ascii="Times New Roman" w:hAnsi="Times New Roman" w:eastAsia="宋体"/>
                        <w:sz w:val="21"/>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34E" w:rsidRDefault="00A32507">
    <w:pPr>
      <w:pStyle w:val="a7"/>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8634E" w:rsidRDefault="00A32507">
                          <w:pPr>
                            <w:pStyle w:val="a7"/>
                            <w:rPr>
                              <w:rFonts w:eastAsia="宋体"/>
                            </w:rPr>
                          </w:pPr>
                          <w:r>
                            <w:rPr>
                              <w:rFonts w:hint="eastAsia"/>
                            </w:rPr>
                            <w:fldChar w:fldCharType="begin"/>
                          </w:r>
                          <w:r>
                            <w:rPr>
                              <w:rFonts w:hint="eastAsia"/>
                            </w:rPr>
                            <w:instrText xml:space="preserve"> PAGE  \* MERGEFORMAT </w:instrText>
                          </w:r>
                          <w:r>
                            <w:rPr>
                              <w:rFonts w:hint="eastAsia"/>
                            </w:rPr>
                            <w:fldChar w:fldCharType="separate"/>
                          </w:r>
                          <w:r w:rsidR="00166AEF">
                            <w:rPr>
                              <w:noProof/>
                            </w:rPr>
                            <w:t>16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8"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rerykZQIAABMFAAAOAAAAAAAAAAAAAAAAAC4CAABkcnMvZTJvRG9j&#10;LnhtbFBLAQItABQABgAIAAAAIQBxqtG51wAAAAUBAAAPAAAAAAAAAAAAAAAAAL8EAABkcnMvZG93&#10;bnJldi54bWxQSwUGAAAAAAQABADzAAAAwwUAAAAA&#10;" filled="f" stroked="f" strokeweight=".5pt">
              <v:textbox style="mso-fit-shape-to-text:t" inset="0,0,0,0">
                <w:txbxContent>
                  <w:p w:rsidR="00A8634E" w:rsidRDefault="00A32507">
                    <w:pPr>
                      <w:pStyle w:val="a7"/>
                      <w:rPr>
                        <w:rFonts w:eastAsia="宋体"/>
                      </w:rPr>
                    </w:pPr>
                    <w:r>
                      <w:rPr>
                        <w:rFonts w:hint="eastAsia"/>
                      </w:rPr>
                      <w:fldChar w:fldCharType="begin"/>
                    </w:r>
                    <w:r>
                      <w:rPr>
                        <w:rFonts w:hint="eastAsia"/>
                      </w:rPr>
                      <w:instrText xml:space="preserve"> PAGE  \* MERGEFORMAT </w:instrText>
                    </w:r>
                    <w:r>
                      <w:rPr>
                        <w:rFonts w:hint="eastAsia"/>
                      </w:rPr>
                      <w:fldChar w:fldCharType="separate"/>
                    </w:r>
                    <w:r w:rsidR="00166AEF">
                      <w:rPr>
                        <w:noProof/>
                      </w:rPr>
                      <w:t>16</w:t>
                    </w:r>
                    <w:r>
                      <w:rPr>
                        <w:rFonts w:hint="eastAsia"/>
                      </w:rPr>
                      <w:fldChar w:fldCharType="end"/>
                    </w:r>
                  </w:p>
                </w:txbxContent>
              </v:textbox>
              <w10:wrap anchorx="margin"/>
            </v:shape>
          </w:pict>
        </mc:Fallback>
      </mc:AlternateContent>
    </w:r>
  </w:p>
  <w:p w:rsidR="00A8634E" w:rsidRDefault="00A32507">
    <w:pPr>
      <w:pStyle w:val="a7"/>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A8634E" w:rsidRDefault="00A8634E">
                          <w:pPr>
                            <w:pStyle w:val="a7"/>
                            <w:widowControl/>
                            <w:jc w:val="center"/>
                            <w:textAlignment w:val="baseline"/>
                            <w:rPr>
                              <w:rStyle w:val="NormalCharacter"/>
                              <w:rFonts w:ascii="仿宋_GB2312" w:eastAsia="仿宋_GB2312" w:hAnsi="仿宋_GB2312"/>
                              <w:sz w:val="28"/>
                              <w:szCs w:val="28"/>
                            </w:rPr>
                          </w:pPr>
                        </w:p>
                        <w:p w:rsidR="00A8634E" w:rsidRDefault="00A8634E">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xmlns:w15="http://schemas.microsoft.com/office/word/2012/wordml" xmlns:wpsCustomData="http://www.wps.cn/officeDocument/2013/wpsCustomData">
          <w:pict>
            <v:shape id="文本框 44"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3u45fSAAAABQEAAA8AAAAAAAAAAQAgAAAAIgAAAGRycy9kb3du&#10;cmV2LnhtbFBLAQIUABQAAAAIAIdO4kAyMoZDzAEAAJgDAAAOAAAAAAAAAAEAIAAAACEBAABkcnMv&#10;ZTJvRG9jLnhtbFBLBQYAAAAABgAGAFkBAABfBQAAAAA=&#10;">
              <v:fill on="f" focussize="0,0"/>
              <v:stroke on="f" weight="1.25pt"/>
              <v:imagedata o:title=""/>
              <o:lock v:ext="edit" aspectratio="f"/>
              <v:textbox inset="0mm,0mm,0mm,0mm">
                <w:txbxContent>
                  <w:p w14:paraId="281DAD2B">
                    <w:pPr>
                      <w:pStyle w:val="8"/>
                      <w:widowControl/>
                      <w:jc w:val="center"/>
                      <w:textAlignment w:val="baseline"/>
                      <w:rPr>
                        <w:rStyle w:val="23"/>
                        <w:rFonts w:ascii="仿宋_GB2312" w:hAnsi="仿宋_GB2312" w:eastAsia="仿宋_GB2312"/>
                        <w:sz w:val="28"/>
                        <w:szCs w:val="28"/>
                      </w:rPr>
                    </w:pPr>
                  </w:p>
                  <w:p w14:paraId="0A2BAB31">
                    <w:pPr>
                      <w:textAlignment w:val="baseline"/>
                      <w:rPr>
                        <w:rStyle w:val="23"/>
                        <w:rFonts w:ascii="Times New Roman" w:hAnsi="Times New Roman" w:eastAsia="宋体"/>
                        <w:sz w:val="21"/>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543" w:rsidRDefault="00522543">
      <w:r>
        <w:separator/>
      </w:r>
    </w:p>
  </w:footnote>
  <w:footnote w:type="continuationSeparator" w:id="0">
    <w:p w:rsidR="00522543" w:rsidRDefault="00522543">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蒋石">
    <w15:presenceInfo w15:providerId="None" w15:userId="蒋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504C"/>
    <w:rsid w:val="00024598"/>
    <w:rsid w:val="00067913"/>
    <w:rsid w:val="00067EC4"/>
    <w:rsid w:val="00072396"/>
    <w:rsid w:val="00075410"/>
    <w:rsid w:val="00082791"/>
    <w:rsid w:val="000B40A6"/>
    <w:rsid w:val="000D755F"/>
    <w:rsid w:val="000F375C"/>
    <w:rsid w:val="00157B6D"/>
    <w:rsid w:val="00166AEF"/>
    <w:rsid w:val="001752D5"/>
    <w:rsid w:val="001A0413"/>
    <w:rsid w:val="001A5654"/>
    <w:rsid w:val="001E700B"/>
    <w:rsid w:val="00287DEA"/>
    <w:rsid w:val="002A2A8F"/>
    <w:rsid w:val="002F043A"/>
    <w:rsid w:val="003062E8"/>
    <w:rsid w:val="00351C9E"/>
    <w:rsid w:val="00362ADE"/>
    <w:rsid w:val="00367070"/>
    <w:rsid w:val="003732E3"/>
    <w:rsid w:val="003E5279"/>
    <w:rsid w:val="00451F04"/>
    <w:rsid w:val="00483FA8"/>
    <w:rsid w:val="004C5071"/>
    <w:rsid w:val="004E2FEA"/>
    <w:rsid w:val="004E58FA"/>
    <w:rsid w:val="00522543"/>
    <w:rsid w:val="005301C5"/>
    <w:rsid w:val="00565221"/>
    <w:rsid w:val="00581E8A"/>
    <w:rsid w:val="005E1E9F"/>
    <w:rsid w:val="0060103B"/>
    <w:rsid w:val="00657FE7"/>
    <w:rsid w:val="00670294"/>
    <w:rsid w:val="006755B4"/>
    <w:rsid w:val="006C0E66"/>
    <w:rsid w:val="006F67CB"/>
    <w:rsid w:val="006F6D37"/>
    <w:rsid w:val="00702CF9"/>
    <w:rsid w:val="00745F8D"/>
    <w:rsid w:val="007612FF"/>
    <w:rsid w:val="007852C0"/>
    <w:rsid w:val="007B0187"/>
    <w:rsid w:val="007D7B19"/>
    <w:rsid w:val="00806E98"/>
    <w:rsid w:val="00845AEC"/>
    <w:rsid w:val="008E0DD5"/>
    <w:rsid w:val="008E415F"/>
    <w:rsid w:val="00923924"/>
    <w:rsid w:val="00925812"/>
    <w:rsid w:val="009509D7"/>
    <w:rsid w:val="009717E9"/>
    <w:rsid w:val="009952E7"/>
    <w:rsid w:val="009C3F54"/>
    <w:rsid w:val="00A32507"/>
    <w:rsid w:val="00A349CF"/>
    <w:rsid w:val="00A43327"/>
    <w:rsid w:val="00A54693"/>
    <w:rsid w:val="00A63234"/>
    <w:rsid w:val="00A8634E"/>
    <w:rsid w:val="00AF563A"/>
    <w:rsid w:val="00B06ECC"/>
    <w:rsid w:val="00B21D5F"/>
    <w:rsid w:val="00B312A5"/>
    <w:rsid w:val="00B519F1"/>
    <w:rsid w:val="00B63951"/>
    <w:rsid w:val="00BA3F2F"/>
    <w:rsid w:val="00BA5ECD"/>
    <w:rsid w:val="00C20229"/>
    <w:rsid w:val="00C41226"/>
    <w:rsid w:val="00C7271E"/>
    <w:rsid w:val="00CB4992"/>
    <w:rsid w:val="00D0307C"/>
    <w:rsid w:val="00D264CE"/>
    <w:rsid w:val="00D67194"/>
    <w:rsid w:val="00D92C59"/>
    <w:rsid w:val="00D94DEB"/>
    <w:rsid w:val="00DA77BC"/>
    <w:rsid w:val="00E53314"/>
    <w:rsid w:val="00E53D40"/>
    <w:rsid w:val="00E56687"/>
    <w:rsid w:val="00FB3B80"/>
    <w:rsid w:val="00FC2A90"/>
    <w:rsid w:val="00FE38D7"/>
    <w:rsid w:val="04D2286F"/>
    <w:rsid w:val="05235D34"/>
    <w:rsid w:val="06A20A39"/>
    <w:rsid w:val="0718544D"/>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5A01320"/>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57A3C92"/>
    <w:rsid w:val="562166FF"/>
    <w:rsid w:val="56E90240"/>
    <w:rsid w:val="57A23368"/>
    <w:rsid w:val="57EF7F46"/>
    <w:rsid w:val="58815E06"/>
    <w:rsid w:val="5EC47139"/>
    <w:rsid w:val="659F2553"/>
    <w:rsid w:val="66EF4E57"/>
    <w:rsid w:val="67A4342A"/>
    <w:rsid w:val="6A215794"/>
    <w:rsid w:val="6AAB5A90"/>
    <w:rsid w:val="6C160F2C"/>
    <w:rsid w:val="6CF63123"/>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nhideWhenUsed="0" w:qFormat="1"/>
    <w:lsdException w:name="caption" w:semiHidden="0" w:qFormat="1"/>
    <w:lsdException w:name="annotation reference"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1"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annotation text"/>
    <w:basedOn w:val="a"/>
    <w:link w:val="Char"/>
    <w:semiHidden/>
    <w:unhideWhenUsed/>
    <w:qFormat/>
    <w:pPr>
      <w:jc w:val="left"/>
    </w:pPr>
  </w:style>
  <w:style w:type="paragraph" w:styleId="a5">
    <w:name w:val="Body Text"/>
    <w:basedOn w:val="a"/>
    <w:link w:val="Char0"/>
    <w:uiPriority w:val="1"/>
    <w:qFormat/>
    <w:pPr>
      <w:ind w:left="118"/>
      <w:jc w:val="left"/>
    </w:pPr>
    <w:rPr>
      <w:rFonts w:ascii="楷体" w:eastAsia="楷体" w:hAnsi="楷体"/>
      <w:kern w:val="0"/>
      <w:sz w:val="21"/>
      <w:szCs w:val="21"/>
      <w:lang w:eastAsia="en-US"/>
    </w:rPr>
  </w:style>
  <w:style w:type="paragraph" w:styleId="a6">
    <w:name w:val="Balloon Text"/>
    <w:basedOn w:val="a"/>
    <w:link w:val="Char1"/>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cs="Times New Roman"/>
      <w:kern w:val="0"/>
      <w:sz w:val="24"/>
    </w:rPr>
  </w:style>
  <w:style w:type="paragraph" w:styleId="aa">
    <w:name w:val="annotation subject"/>
    <w:basedOn w:val="a4"/>
    <w:next w:val="a4"/>
    <w:link w:val="Char2"/>
    <w:semiHidden/>
    <w:unhideWhenUsed/>
    <w:qFormat/>
    <w:rPr>
      <w:b/>
      <w:bCs/>
    </w:rPr>
  </w:style>
  <w:style w:type="table" w:styleId="ab">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Pr>
      <w:b/>
    </w:rPr>
  </w:style>
  <w:style w:type="character" w:styleId="ad">
    <w:name w:val="page number"/>
    <w:basedOn w:val="a0"/>
    <w:qFormat/>
  </w:style>
  <w:style w:type="character" w:styleId="ae">
    <w:name w:val="FollowedHyperlink"/>
    <w:basedOn w:val="a0"/>
    <w:qFormat/>
    <w:rPr>
      <w:color w:val="800080"/>
      <w:u w:val="none"/>
    </w:rPr>
  </w:style>
  <w:style w:type="character" w:styleId="af">
    <w:name w:val="Emphasis"/>
    <w:basedOn w:val="a0"/>
    <w:uiPriority w:val="20"/>
    <w:qFormat/>
    <w:rPr>
      <w:i/>
      <w:iCs/>
    </w:rPr>
  </w:style>
  <w:style w:type="character" w:styleId="af0">
    <w:name w:val="Hyperlink"/>
    <w:basedOn w:val="a0"/>
    <w:qFormat/>
    <w:rPr>
      <w:color w:val="0000FF"/>
      <w:u w:val="none"/>
    </w:rPr>
  </w:style>
  <w:style w:type="character" w:styleId="af1">
    <w:name w:val="annotation reference"/>
    <w:basedOn w:val="a0"/>
    <w:semiHidden/>
    <w:unhideWhenUsed/>
    <w:qFormat/>
    <w:rPr>
      <w:sz w:val="21"/>
      <w:szCs w:val="21"/>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paragraph" w:styleId="af2">
    <w:name w:val="List Paragraph"/>
    <w:basedOn w:val="a"/>
    <w:uiPriority w:val="99"/>
    <w:unhideWhenUsed/>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1">
    <w:name w:val="批注框文本 Char"/>
    <w:basedOn w:val="a0"/>
    <w:link w:val="a6"/>
    <w:qFormat/>
    <w:rPr>
      <w:rFonts w:asciiTheme="minorHAnsi" w:eastAsia="方正仿宋简体" w:hAnsiTheme="minorHAnsi" w:cstheme="minorBidi"/>
      <w:kern w:val="2"/>
      <w:sz w:val="18"/>
      <w:szCs w:val="18"/>
    </w:rPr>
  </w:style>
  <w:style w:type="character" w:customStyle="1" w:styleId="Char">
    <w:name w:val="批注文字 Char"/>
    <w:basedOn w:val="a0"/>
    <w:link w:val="a4"/>
    <w:semiHidden/>
    <w:qFormat/>
    <w:rPr>
      <w:rFonts w:asciiTheme="minorHAnsi" w:eastAsia="方正仿宋简体" w:hAnsiTheme="minorHAnsi" w:cstheme="minorBidi"/>
      <w:kern w:val="2"/>
      <w:sz w:val="32"/>
      <w:szCs w:val="24"/>
    </w:rPr>
  </w:style>
  <w:style w:type="character" w:customStyle="1" w:styleId="Char2">
    <w:name w:val="批注主题 Char"/>
    <w:basedOn w:val="Char"/>
    <w:link w:val="aa"/>
    <w:semiHidden/>
    <w:qFormat/>
    <w:rPr>
      <w:rFonts w:asciiTheme="minorHAnsi" w:eastAsia="方正仿宋简体" w:hAnsiTheme="minorHAnsi" w:cstheme="minorBidi"/>
      <w:b/>
      <w:bCs/>
      <w:kern w:val="2"/>
      <w:sz w:val="32"/>
      <w:szCs w:val="24"/>
    </w:rPr>
  </w:style>
  <w:style w:type="character" w:customStyle="1" w:styleId="Char0">
    <w:name w:val="正文文本 Char"/>
    <w:basedOn w:val="a0"/>
    <w:link w:val="a5"/>
    <w:uiPriority w:val="1"/>
    <w:qFormat/>
    <w:rPr>
      <w:rFonts w:ascii="楷体" w:eastAsia="楷体" w:hAnsi="楷体" w:cstheme="minorBidi"/>
      <w:sz w:val="21"/>
      <w:szCs w:val="21"/>
      <w:lang w:eastAsia="en-US"/>
    </w:rPr>
  </w:style>
  <w:style w:type="paragraph" w:customStyle="1" w:styleId="TableParagraph">
    <w:name w:val="Table Paragraph"/>
    <w:basedOn w:val="a"/>
    <w:uiPriority w:val="1"/>
    <w:qFormat/>
    <w:pPr>
      <w:jc w:val="left"/>
    </w:pPr>
    <w:rPr>
      <w:rFonts w:eastAsiaTheme="minorEastAsia"/>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nhideWhenUsed="0" w:qFormat="1"/>
    <w:lsdException w:name="caption" w:semiHidden="0" w:qFormat="1"/>
    <w:lsdException w:name="annotation reference"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1"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annotation text"/>
    <w:basedOn w:val="a"/>
    <w:link w:val="Char"/>
    <w:semiHidden/>
    <w:unhideWhenUsed/>
    <w:qFormat/>
    <w:pPr>
      <w:jc w:val="left"/>
    </w:pPr>
  </w:style>
  <w:style w:type="paragraph" w:styleId="a5">
    <w:name w:val="Body Text"/>
    <w:basedOn w:val="a"/>
    <w:link w:val="Char0"/>
    <w:uiPriority w:val="1"/>
    <w:qFormat/>
    <w:pPr>
      <w:ind w:left="118"/>
      <w:jc w:val="left"/>
    </w:pPr>
    <w:rPr>
      <w:rFonts w:ascii="楷体" w:eastAsia="楷体" w:hAnsi="楷体"/>
      <w:kern w:val="0"/>
      <w:sz w:val="21"/>
      <w:szCs w:val="21"/>
      <w:lang w:eastAsia="en-US"/>
    </w:rPr>
  </w:style>
  <w:style w:type="paragraph" w:styleId="a6">
    <w:name w:val="Balloon Text"/>
    <w:basedOn w:val="a"/>
    <w:link w:val="Char1"/>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cs="Times New Roman"/>
      <w:kern w:val="0"/>
      <w:sz w:val="24"/>
    </w:rPr>
  </w:style>
  <w:style w:type="paragraph" w:styleId="aa">
    <w:name w:val="annotation subject"/>
    <w:basedOn w:val="a4"/>
    <w:next w:val="a4"/>
    <w:link w:val="Char2"/>
    <w:semiHidden/>
    <w:unhideWhenUsed/>
    <w:qFormat/>
    <w:rPr>
      <w:b/>
      <w:bCs/>
    </w:rPr>
  </w:style>
  <w:style w:type="table" w:styleId="ab">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Pr>
      <w:b/>
    </w:rPr>
  </w:style>
  <w:style w:type="character" w:styleId="ad">
    <w:name w:val="page number"/>
    <w:basedOn w:val="a0"/>
    <w:qFormat/>
  </w:style>
  <w:style w:type="character" w:styleId="ae">
    <w:name w:val="FollowedHyperlink"/>
    <w:basedOn w:val="a0"/>
    <w:qFormat/>
    <w:rPr>
      <w:color w:val="800080"/>
      <w:u w:val="none"/>
    </w:rPr>
  </w:style>
  <w:style w:type="character" w:styleId="af">
    <w:name w:val="Emphasis"/>
    <w:basedOn w:val="a0"/>
    <w:uiPriority w:val="20"/>
    <w:qFormat/>
    <w:rPr>
      <w:i/>
      <w:iCs/>
    </w:rPr>
  </w:style>
  <w:style w:type="character" w:styleId="af0">
    <w:name w:val="Hyperlink"/>
    <w:basedOn w:val="a0"/>
    <w:qFormat/>
    <w:rPr>
      <w:color w:val="0000FF"/>
      <w:u w:val="none"/>
    </w:rPr>
  </w:style>
  <w:style w:type="character" w:styleId="af1">
    <w:name w:val="annotation reference"/>
    <w:basedOn w:val="a0"/>
    <w:semiHidden/>
    <w:unhideWhenUsed/>
    <w:qFormat/>
    <w:rPr>
      <w:sz w:val="21"/>
      <w:szCs w:val="21"/>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paragraph" w:styleId="af2">
    <w:name w:val="List Paragraph"/>
    <w:basedOn w:val="a"/>
    <w:uiPriority w:val="99"/>
    <w:unhideWhenUsed/>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1">
    <w:name w:val="批注框文本 Char"/>
    <w:basedOn w:val="a0"/>
    <w:link w:val="a6"/>
    <w:qFormat/>
    <w:rPr>
      <w:rFonts w:asciiTheme="minorHAnsi" w:eastAsia="方正仿宋简体" w:hAnsiTheme="minorHAnsi" w:cstheme="minorBidi"/>
      <w:kern w:val="2"/>
      <w:sz w:val="18"/>
      <w:szCs w:val="18"/>
    </w:rPr>
  </w:style>
  <w:style w:type="character" w:customStyle="1" w:styleId="Char">
    <w:name w:val="批注文字 Char"/>
    <w:basedOn w:val="a0"/>
    <w:link w:val="a4"/>
    <w:semiHidden/>
    <w:qFormat/>
    <w:rPr>
      <w:rFonts w:asciiTheme="minorHAnsi" w:eastAsia="方正仿宋简体" w:hAnsiTheme="minorHAnsi" w:cstheme="minorBidi"/>
      <w:kern w:val="2"/>
      <w:sz w:val="32"/>
      <w:szCs w:val="24"/>
    </w:rPr>
  </w:style>
  <w:style w:type="character" w:customStyle="1" w:styleId="Char2">
    <w:name w:val="批注主题 Char"/>
    <w:basedOn w:val="Char"/>
    <w:link w:val="aa"/>
    <w:semiHidden/>
    <w:qFormat/>
    <w:rPr>
      <w:rFonts w:asciiTheme="minorHAnsi" w:eastAsia="方正仿宋简体" w:hAnsiTheme="minorHAnsi" w:cstheme="minorBidi"/>
      <w:b/>
      <w:bCs/>
      <w:kern w:val="2"/>
      <w:sz w:val="32"/>
      <w:szCs w:val="24"/>
    </w:rPr>
  </w:style>
  <w:style w:type="character" w:customStyle="1" w:styleId="Char0">
    <w:name w:val="正文文本 Char"/>
    <w:basedOn w:val="a0"/>
    <w:link w:val="a5"/>
    <w:uiPriority w:val="1"/>
    <w:qFormat/>
    <w:rPr>
      <w:rFonts w:ascii="楷体" w:eastAsia="楷体" w:hAnsi="楷体" w:cstheme="minorBidi"/>
      <w:sz w:val="21"/>
      <w:szCs w:val="21"/>
      <w:lang w:eastAsia="en-US"/>
    </w:rPr>
  </w:style>
  <w:style w:type="paragraph" w:customStyle="1" w:styleId="TableParagraph">
    <w:name w:val="Table Paragraph"/>
    <w:basedOn w:val="a"/>
    <w:uiPriority w:val="1"/>
    <w:qFormat/>
    <w:pPr>
      <w:jc w:val="left"/>
    </w:pPr>
    <w:rPr>
      <w:rFonts w:eastAsiaTheme="minorEastAsia"/>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907A85-C77A-48FD-B04E-B5C9E4032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1633</Words>
  <Characters>9314</Characters>
  <Application>Microsoft Office Word</Application>
  <DocSecurity>0</DocSecurity>
  <Lines>77</Lines>
  <Paragraphs>21</Paragraphs>
  <ScaleCrop>false</ScaleCrop>
  <Company>微软中国</Company>
  <LinksUpToDate>false</LinksUpToDate>
  <CharactersWithSpaces>10926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周丽华</cp:lastModifiedBy>
  <cp:revision>3</cp:revision>
  <cp:lastPrinted>2020-11-20T03:24:00Z</cp:lastPrinted>
  <dcterms:created xsi:type="dcterms:W3CDTF">2025-03-12T08:29:00Z</dcterms:created>
  <dcterms:modified xsi:type="dcterms:W3CDTF">2025-03-12T08:32:00Z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eyJoZGlkIjoiNzVlNTU5ZTgwNjFmMGE0ODUyOWQ5YWYwZmVjNDQ0ZWQifQ==</vt:lpwstr>
  </property>
  <property fmtid="{D5CDD505-2E9C-101B-9397-08002B2CF9AE}" pid="4" name="ICV">
    <vt:lpwstr>6FFB2047387741FA9704B8FACCC0F3F8_12</vt:lpwstr>
  </property>
</Properties>
</file>