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683" w:rsidRPr="00BB5683" w:rsidRDefault="006F6247" w:rsidP="00BB5683">
      <w:pPr>
        <w:spacing w:after="156" w:line="560" w:lineRule="exact"/>
        <w:jc w:val="center"/>
        <w:textAlignment w:val="baseline"/>
        <w:rPr>
          <w:rFonts w:ascii="方正小标宋简体" w:eastAsia="方正小标宋简体" w:hAnsi="方正小标宋简体" w:cs="方正小标宋简体"/>
          <w:bCs/>
          <w:sz w:val="44"/>
          <w:szCs w:val="44"/>
        </w:rPr>
      </w:pPr>
      <w:bookmarkStart w:id="0" w:name="_GoBack"/>
      <w:bookmarkEnd w:id="0"/>
      <w:r w:rsidRPr="006F6247">
        <w:rPr>
          <w:rFonts w:ascii="方正小标宋简体" w:eastAsia="方正小标宋简体" w:hAnsi="方正小标宋简体" w:cs="方正小标宋简体" w:hint="eastAsia"/>
          <w:bCs/>
          <w:sz w:val="44"/>
          <w:szCs w:val="44"/>
        </w:rPr>
        <w:t>学位授权点质量建设年度报告</w:t>
      </w:r>
    </w:p>
    <w:p w:rsidR="00BB5683" w:rsidRPr="00BB5683" w:rsidRDefault="00BB5683" w:rsidP="00BB5683">
      <w:pPr>
        <w:snapToGrid w:val="0"/>
        <w:spacing w:line="300" w:lineRule="auto"/>
        <w:jc w:val="center"/>
        <w:textAlignment w:val="baseline"/>
        <w:rPr>
          <w:rFonts w:ascii="Times New Roman" w:eastAsia="宋体" w:hAnsi="Times New Roman" w:cs="Times New Roman"/>
          <w:b/>
          <w:sz w:val="32"/>
          <w:szCs w:val="32"/>
        </w:rPr>
      </w:pPr>
      <w:r w:rsidRPr="00BB5683">
        <w:rPr>
          <w:rFonts w:ascii="Times New Roman" w:eastAsia="宋体" w:hAnsi="Times New Roman" w:cs="Times New Roman" w:hint="eastAsia"/>
          <w:b/>
          <w:sz w:val="32"/>
          <w:szCs w:val="32"/>
        </w:rPr>
        <w:t>（</w:t>
      </w:r>
      <w:r w:rsidRPr="00BB5683">
        <w:rPr>
          <w:rFonts w:ascii="Times New Roman" w:eastAsia="宋体" w:hAnsi="Times New Roman" w:cs="Times New Roman" w:hint="eastAsia"/>
          <w:b/>
          <w:sz w:val="32"/>
          <w:szCs w:val="32"/>
        </w:rPr>
        <w:t>2021</w:t>
      </w:r>
      <w:r w:rsidRPr="00BB5683">
        <w:rPr>
          <w:rFonts w:ascii="Times New Roman" w:eastAsia="宋体" w:hAnsi="Times New Roman" w:cs="Times New Roman" w:hint="eastAsia"/>
          <w:b/>
          <w:sz w:val="32"/>
          <w:szCs w:val="32"/>
        </w:rPr>
        <w:t>年）</w:t>
      </w:r>
    </w:p>
    <w:p w:rsidR="00BB5683" w:rsidRPr="00BB5683" w:rsidRDefault="00BB5683" w:rsidP="00BB5683">
      <w:pPr>
        <w:snapToGrid w:val="0"/>
        <w:spacing w:line="300" w:lineRule="auto"/>
        <w:jc w:val="center"/>
        <w:textAlignment w:val="baseline"/>
        <w:rPr>
          <w:rFonts w:ascii="Times New Roman" w:eastAsia="宋体" w:hAnsi="Times New Roman" w:cs="Times New Roman"/>
          <w:b/>
          <w:sz w:val="32"/>
          <w:szCs w:val="32"/>
        </w:rPr>
      </w:pPr>
    </w:p>
    <w:p w:rsidR="00BB5683" w:rsidRPr="00BB5683" w:rsidRDefault="00BB5683" w:rsidP="00BB5683">
      <w:pPr>
        <w:snapToGrid w:val="0"/>
        <w:spacing w:line="300" w:lineRule="auto"/>
        <w:jc w:val="center"/>
        <w:textAlignment w:val="baseline"/>
        <w:rPr>
          <w:rFonts w:ascii="Times New Roman" w:eastAsia="宋体" w:hAnsi="Times New Roman" w:cs="Times New Roman"/>
          <w:b/>
          <w:sz w:val="32"/>
          <w:szCs w:val="32"/>
        </w:rPr>
      </w:pPr>
    </w:p>
    <w:p w:rsidR="00BB5683" w:rsidRPr="00BB5683" w:rsidRDefault="00BB5683" w:rsidP="00BB5683">
      <w:pPr>
        <w:snapToGrid w:val="0"/>
        <w:spacing w:line="300" w:lineRule="auto"/>
        <w:jc w:val="center"/>
        <w:textAlignment w:val="baseline"/>
        <w:rPr>
          <w:rFonts w:ascii="Times New Roman" w:eastAsia="宋体" w:hAnsi="Times New Roman" w:cs="Times New Roman"/>
          <w:b/>
          <w:sz w:val="32"/>
          <w:szCs w:val="32"/>
        </w:rPr>
      </w:pPr>
    </w:p>
    <w:p w:rsidR="00BB5683" w:rsidRPr="00BB5683" w:rsidRDefault="00BB5683" w:rsidP="00BB5683">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BB5683" w:rsidRPr="00BB5683" w:rsidTr="00E25E20">
        <w:trPr>
          <w:trHeight w:val="794"/>
          <w:jc w:val="center"/>
        </w:trPr>
        <w:tc>
          <w:tcPr>
            <w:tcW w:w="1507" w:type="dxa"/>
            <w:vMerge w:val="restart"/>
            <w:tcBorders>
              <w:top w:val="nil"/>
              <w:left w:val="nil"/>
              <w:bottom w:val="single" w:sz="4" w:space="0" w:color="000000"/>
              <w:right w:val="single" w:sz="4" w:space="0" w:color="000000"/>
            </w:tcBorders>
            <w:vAlign w:val="center"/>
          </w:tcPr>
          <w:p w:rsidR="00BB5683" w:rsidRPr="00BB5683" w:rsidRDefault="00BB5683" w:rsidP="00BB5683">
            <w:pPr>
              <w:snapToGrid w:val="0"/>
              <w:spacing w:line="240" w:lineRule="atLeast"/>
              <w:jc w:val="center"/>
              <w:textAlignment w:val="baseline"/>
              <w:rPr>
                <w:rFonts w:ascii="Times New Roman" w:eastAsia="宋体" w:hAnsi="Times New Roman" w:cs="Times New Roman"/>
                <w:b/>
                <w:spacing w:val="-10"/>
                <w:sz w:val="32"/>
                <w:szCs w:val="32"/>
              </w:rPr>
            </w:pPr>
            <w:r w:rsidRPr="00BB5683">
              <w:rPr>
                <w:rFonts w:ascii="Times New Roman" w:eastAsia="宋体" w:hAnsi="Times New Roman" w:cs="Times New Roman"/>
                <w:b/>
                <w:spacing w:val="-10"/>
                <w:sz w:val="32"/>
                <w:szCs w:val="32"/>
              </w:rPr>
              <w:t>高校</w:t>
            </w:r>
          </w:p>
          <w:p w:rsidR="00BB5683" w:rsidRPr="00BB5683" w:rsidRDefault="00BB5683" w:rsidP="00BB5683">
            <w:pPr>
              <w:snapToGrid w:val="0"/>
              <w:spacing w:line="240" w:lineRule="atLeast"/>
              <w:jc w:val="center"/>
              <w:textAlignment w:val="baseline"/>
              <w:rPr>
                <w:rFonts w:ascii="Times New Roman" w:eastAsia="宋体" w:hAnsi="Times New Roman" w:cs="Times New Roman"/>
                <w:b/>
                <w:spacing w:val="-10"/>
                <w:sz w:val="32"/>
                <w:szCs w:val="32"/>
              </w:rPr>
            </w:pPr>
            <w:r w:rsidRPr="00BB5683">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BB5683" w:rsidRPr="00BB5683" w:rsidRDefault="00BB5683" w:rsidP="00BB5683">
            <w:pPr>
              <w:snapToGrid w:val="0"/>
              <w:spacing w:line="300" w:lineRule="auto"/>
              <w:textAlignment w:val="baseline"/>
              <w:rPr>
                <w:rFonts w:ascii="Times New Roman" w:eastAsia="宋体" w:hAnsi="Times New Roman" w:cs="Times New Roman"/>
                <w:b/>
                <w:spacing w:val="-10"/>
                <w:sz w:val="32"/>
                <w:szCs w:val="32"/>
              </w:rPr>
            </w:pPr>
            <w:r w:rsidRPr="00BB5683">
              <w:rPr>
                <w:rFonts w:ascii="Times New Roman" w:eastAsia="宋体" w:hAnsi="Times New Roman" w:cs="Times New Roman"/>
                <w:b/>
                <w:spacing w:val="-10"/>
                <w:sz w:val="32"/>
                <w:szCs w:val="32"/>
              </w:rPr>
              <w:t>名称：</w:t>
            </w:r>
            <w:r w:rsidRPr="00BB5683">
              <w:rPr>
                <w:rFonts w:ascii="Times New Roman" w:eastAsia="宋体" w:hAnsi="Times New Roman" w:cs="Times New Roman" w:hint="eastAsia"/>
                <w:b/>
                <w:spacing w:val="-10"/>
                <w:sz w:val="32"/>
                <w:szCs w:val="32"/>
              </w:rPr>
              <w:t>国际商务</w:t>
            </w:r>
          </w:p>
        </w:tc>
      </w:tr>
      <w:tr w:rsidR="00BB5683" w:rsidRPr="00BB5683" w:rsidTr="00E25E20">
        <w:trPr>
          <w:trHeight w:val="794"/>
          <w:jc w:val="center"/>
        </w:trPr>
        <w:tc>
          <w:tcPr>
            <w:tcW w:w="1507" w:type="dxa"/>
            <w:vMerge/>
            <w:tcBorders>
              <w:top w:val="single" w:sz="4" w:space="0" w:color="000000"/>
              <w:left w:val="nil"/>
              <w:bottom w:val="nil"/>
              <w:right w:val="single" w:sz="4" w:space="0" w:color="000000"/>
            </w:tcBorders>
            <w:vAlign w:val="center"/>
          </w:tcPr>
          <w:p w:rsidR="00BB5683" w:rsidRPr="00BB5683" w:rsidRDefault="00BB5683" w:rsidP="00BB5683">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BB5683" w:rsidRPr="00BB5683" w:rsidRDefault="00BB5683" w:rsidP="00BB5683">
            <w:pPr>
              <w:snapToGrid w:val="0"/>
              <w:spacing w:line="300" w:lineRule="auto"/>
              <w:textAlignment w:val="baseline"/>
              <w:rPr>
                <w:rFonts w:ascii="Times New Roman" w:eastAsia="宋体" w:hAnsi="Times New Roman" w:cs="Times New Roman"/>
                <w:b/>
                <w:spacing w:val="-10"/>
                <w:sz w:val="32"/>
                <w:szCs w:val="32"/>
              </w:rPr>
            </w:pPr>
            <w:r w:rsidRPr="00BB5683">
              <w:rPr>
                <w:rFonts w:ascii="Times New Roman" w:eastAsia="宋体" w:hAnsi="Times New Roman" w:cs="Times New Roman"/>
                <w:b/>
                <w:spacing w:val="-10"/>
                <w:sz w:val="32"/>
                <w:szCs w:val="32"/>
              </w:rPr>
              <w:t>代码：</w:t>
            </w:r>
            <w:r w:rsidRPr="00BB5683">
              <w:rPr>
                <w:rFonts w:ascii="Times New Roman" w:eastAsia="宋体" w:hAnsi="Times New Roman" w:cs="Times New Roman"/>
                <w:b/>
                <w:spacing w:val="-10"/>
                <w:sz w:val="32"/>
                <w:szCs w:val="32"/>
              </w:rPr>
              <w:t>0254</w:t>
            </w:r>
          </w:p>
        </w:tc>
      </w:tr>
    </w:tbl>
    <w:p w:rsidR="00BB5683" w:rsidRPr="00BB5683" w:rsidRDefault="00BB5683" w:rsidP="00BB5683">
      <w:pPr>
        <w:snapToGrid w:val="0"/>
        <w:spacing w:line="300" w:lineRule="auto"/>
        <w:jc w:val="center"/>
        <w:textAlignment w:val="baseline"/>
        <w:rPr>
          <w:rFonts w:ascii="Times New Roman" w:eastAsia="宋体" w:hAnsi="Times New Roman" w:cs="Times New Roman"/>
          <w:b/>
          <w:sz w:val="48"/>
          <w:szCs w:val="20"/>
        </w:rPr>
      </w:pPr>
    </w:p>
    <w:p w:rsidR="00BB5683" w:rsidRPr="00BB5683" w:rsidRDefault="00BB5683" w:rsidP="00BB5683">
      <w:pPr>
        <w:spacing w:line="560" w:lineRule="exact"/>
        <w:jc w:val="center"/>
        <w:textAlignment w:val="baseline"/>
        <w:rPr>
          <w:rFonts w:ascii="Times New Roman" w:eastAsia="楷体_GB2312" w:hAnsi="Times New Roman" w:cs="Times New Roman"/>
          <w:b/>
          <w:sz w:val="30"/>
          <w:szCs w:val="30"/>
        </w:rPr>
      </w:pPr>
    </w:p>
    <w:p w:rsidR="00BB5683" w:rsidRPr="00BB5683" w:rsidRDefault="00BB5683" w:rsidP="00BB5683">
      <w:pPr>
        <w:spacing w:line="560" w:lineRule="exact"/>
        <w:jc w:val="center"/>
        <w:textAlignment w:val="baseline"/>
        <w:rPr>
          <w:rFonts w:ascii="Times New Roman" w:eastAsia="楷体_GB2312" w:hAnsi="Times New Roman" w:cs="Times New Roman"/>
          <w:b/>
          <w:sz w:val="30"/>
          <w:szCs w:val="30"/>
        </w:rPr>
      </w:pPr>
    </w:p>
    <w:p w:rsidR="00BB5683" w:rsidRPr="00BB5683" w:rsidRDefault="00BB5683" w:rsidP="00BB5683">
      <w:pPr>
        <w:spacing w:line="560" w:lineRule="exact"/>
        <w:jc w:val="center"/>
        <w:textAlignment w:val="baseline"/>
        <w:rPr>
          <w:rFonts w:ascii="Times New Roman" w:eastAsia="楷体_GB2312" w:hAnsi="Times New Roman" w:cs="Times New Roman"/>
          <w:b/>
          <w:sz w:val="30"/>
          <w:szCs w:val="30"/>
        </w:rPr>
      </w:pPr>
    </w:p>
    <w:p w:rsidR="00BB5683" w:rsidRPr="00BB5683" w:rsidRDefault="00BB5683" w:rsidP="00BB5683">
      <w:pPr>
        <w:widowControl/>
        <w:spacing w:line="600" w:lineRule="exact"/>
        <w:ind w:firstLineChars="200" w:firstLine="640"/>
        <w:textAlignment w:val="baseline"/>
        <w:rPr>
          <w:rFonts w:ascii="黑体" w:eastAsia="黑体" w:hAnsi="黑体" w:cs="Times New Roman"/>
          <w:sz w:val="32"/>
          <w:szCs w:val="32"/>
        </w:rPr>
      </w:pPr>
    </w:p>
    <w:p w:rsidR="00BB5683" w:rsidRPr="00BB5683" w:rsidRDefault="00BB5683" w:rsidP="00BB5683">
      <w:pPr>
        <w:spacing w:line="560" w:lineRule="exact"/>
        <w:jc w:val="center"/>
        <w:textAlignment w:val="baseline"/>
        <w:rPr>
          <w:rFonts w:ascii="Times New Roman" w:eastAsia="楷体_GB2312" w:hAnsi="Times New Roman" w:cs="Times New Roman"/>
          <w:b/>
          <w:sz w:val="30"/>
          <w:szCs w:val="30"/>
        </w:rPr>
      </w:pPr>
    </w:p>
    <w:p w:rsidR="00BB5683" w:rsidRPr="00BB5683" w:rsidRDefault="00BB5683" w:rsidP="00BB5683">
      <w:pPr>
        <w:spacing w:line="560" w:lineRule="exact"/>
        <w:jc w:val="center"/>
        <w:textAlignment w:val="baseline"/>
        <w:rPr>
          <w:rFonts w:ascii="黑体" w:eastAsia="黑体" w:hAnsi="黑体" w:cs="Times New Roman"/>
          <w:sz w:val="32"/>
          <w:szCs w:val="32"/>
        </w:rPr>
        <w:sectPr w:rsidR="00BB5683" w:rsidRPr="00BB5683">
          <w:footerReference w:type="default" r:id="rId7"/>
          <w:pgSz w:w="11906" w:h="16838"/>
          <w:pgMar w:top="1440" w:right="1800" w:bottom="1440" w:left="1800" w:header="851" w:footer="992" w:gutter="0"/>
          <w:pgNumType w:start="1"/>
          <w:cols w:space="425"/>
          <w:docGrid w:type="lines" w:linePitch="312"/>
        </w:sectPr>
      </w:pPr>
      <w:r w:rsidRPr="00BB5683">
        <w:rPr>
          <w:rFonts w:ascii="Times New Roman" w:eastAsia="楷体_GB2312" w:hAnsi="Times New Roman" w:cs="Times New Roman"/>
          <w:b/>
          <w:sz w:val="32"/>
          <w:szCs w:val="32"/>
        </w:rPr>
        <w:t>2022</w:t>
      </w:r>
      <w:r w:rsidRPr="00BB5683">
        <w:rPr>
          <w:rFonts w:ascii="Times New Roman" w:eastAsia="楷体_GB2312" w:hAnsi="Times New Roman" w:cs="Times New Roman" w:hint="eastAsia"/>
          <w:b/>
          <w:sz w:val="32"/>
          <w:szCs w:val="32"/>
        </w:rPr>
        <w:t xml:space="preserve"> </w:t>
      </w:r>
      <w:r w:rsidRPr="00BB5683">
        <w:rPr>
          <w:rFonts w:ascii="Times New Roman" w:eastAsia="楷体_GB2312" w:hAnsi="Times New Roman" w:cs="Times New Roman"/>
          <w:b/>
          <w:sz w:val="32"/>
          <w:szCs w:val="32"/>
        </w:rPr>
        <w:t>年</w:t>
      </w:r>
      <w:r w:rsidRPr="00BB5683">
        <w:rPr>
          <w:rFonts w:ascii="Times New Roman" w:eastAsia="楷体_GB2312" w:hAnsi="Times New Roman" w:cs="Times New Roman"/>
          <w:b/>
          <w:sz w:val="32"/>
          <w:szCs w:val="32"/>
        </w:rPr>
        <w:t xml:space="preserve"> 1 </w:t>
      </w:r>
      <w:r w:rsidRPr="00BB5683">
        <w:rPr>
          <w:rFonts w:ascii="Times New Roman" w:eastAsia="楷体_GB2312" w:hAnsi="Times New Roman" w:cs="Times New Roman"/>
          <w:b/>
          <w:sz w:val="32"/>
          <w:szCs w:val="32"/>
        </w:rPr>
        <w:t>月</w:t>
      </w:r>
      <w:r w:rsidRPr="00BB5683">
        <w:rPr>
          <w:rFonts w:ascii="Times New Roman" w:eastAsia="楷体_GB2312" w:hAnsi="Times New Roman" w:cs="Times New Roman" w:hint="eastAsia"/>
          <w:b/>
          <w:sz w:val="32"/>
          <w:szCs w:val="32"/>
        </w:rPr>
        <w:t xml:space="preserve"> </w:t>
      </w:r>
      <w:r w:rsidRPr="00BB5683">
        <w:rPr>
          <w:rFonts w:ascii="Times New Roman" w:eastAsia="楷体_GB2312" w:hAnsi="Times New Roman" w:cs="Times New Roman"/>
          <w:b/>
          <w:sz w:val="32"/>
          <w:szCs w:val="32"/>
        </w:rPr>
        <w:t xml:space="preserve">6 </w:t>
      </w:r>
      <w:r w:rsidRPr="00BB5683">
        <w:rPr>
          <w:rFonts w:ascii="Times New Roman" w:eastAsia="楷体_GB2312" w:hAnsi="Times New Roman" w:cs="Times New Roman" w:hint="eastAsia"/>
          <w:b/>
          <w:sz w:val="32"/>
          <w:szCs w:val="32"/>
        </w:rPr>
        <w:t>日</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lastRenderedPageBreak/>
        <w:t>一、总体概况</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（一）学位授权点基本情况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为了适应经济全球化和国家开放与发展的需要，并结合“始有暨南，便有商科”的创校和立校之本，暨南大学于2011年获得国际商务专业硕士学位授权点，目前已经形成了跨国企业管理和国际商务两个培养方向。本专业学位以培养从事国际商务经营运作与管理工作的高层次、应用型、复合型商务专门人才为目标，坚持“侨校特色”，形成了以课程教学为主，重视和加强实践教学的人才培养方案。向港澳台地区和“一带一路”沿线国家输送了大量优秀国际商务人才，实现学科建设与国家政策的相融合。</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（二）研究生招生、在读、毕业、学位授予及就业基本状况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1.招生</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202</w:t>
      </w:r>
      <w:r w:rsidRPr="00BB5683">
        <w:rPr>
          <w:rFonts w:ascii="仿宋_GB2312" w:eastAsia="仿宋_GB2312" w:hAnsi="宋体" w:cs="Times New Roman"/>
          <w:sz w:val="28"/>
          <w:szCs w:val="28"/>
        </w:rPr>
        <w:t>1</w:t>
      </w:r>
      <w:r w:rsidRPr="00BB5683">
        <w:rPr>
          <w:rFonts w:ascii="仿宋_GB2312" w:eastAsia="仿宋_GB2312" w:hAnsi="宋体" w:cs="Times New Roman" w:hint="eastAsia"/>
          <w:sz w:val="28"/>
          <w:szCs w:val="28"/>
        </w:rPr>
        <w:t>年本学科共招收全日制硕士研究生</w:t>
      </w:r>
      <w:r w:rsidRPr="00BB5683">
        <w:rPr>
          <w:rFonts w:ascii="仿宋_GB2312" w:eastAsia="仿宋_GB2312" w:hAnsi="宋体" w:cs="Times New Roman"/>
          <w:sz w:val="28"/>
          <w:szCs w:val="28"/>
        </w:rPr>
        <w:t>36</w:t>
      </w:r>
      <w:r w:rsidRPr="00BB5683">
        <w:rPr>
          <w:rFonts w:ascii="仿宋_GB2312" w:eastAsia="仿宋_GB2312" w:hAnsi="宋体" w:cs="Times New Roman" w:hint="eastAsia"/>
          <w:sz w:val="28"/>
          <w:szCs w:val="28"/>
        </w:rPr>
        <w:t>人，其中境内研究生31人，境外研究生</w:t>
      </w:r>
      <w:r w:rsidRPr="00BB5683">
        <w:rPr>
          <w:rFonts w:ascii="仿宋_GB2312" w:eastAsia="仿宋_GB2312" w:hAnsi="宋体" w:cs="Times New Roman"/>
          <w:sz w:val="28"/>
          <w:szCs w:val="28"/>
        </w:rPr>
        <w:t>5</w:t>
      </w:r>
      <w:r w:rsidRPr="00BB5683">
        <w:rPr>
          <w:rFonts w:ascii="仿宋_GB2312" w:eastAsia="仿宋_GB2312" w:hAnsi="宋体" w:cs="Times New Roman" w:hint="eastAsia"/>
          <w:sz w:val="28"/>
          <w:szCs w:val="28"/>
        </w:rPr>
        <w:t>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2.在读</w:t>
      </w:r>
    </w:p>
    <w:p w:rsidR="00BB5683" w:rsidRPr="00BB5683" w:rsidRDefault="00BB5683" w:rsidP="00BB5683">
      <w:pPr>
        <w:ind w:firstLineChars="200" w:firstLine="560"/>
        <w:rPr>
          <w:rFonts w:ascii="仿宋_GB2312" w:eastAsia="仿宋_GB2312" w:hAnsi="宋体" w:cs="Times New Roman"/>
          <w:color w:val="000000"/>
          <w:sz w:val="28"/>
          <w:szCs w:val="28"/>
        </w:rPr>
      </w:pPr>
      <w:r w:rsidRPr="00BB5683">
        <w:rPr>
          <w:rFonts w:ascii="仿宋_GB2312" w:eastAsia="仿宋_GB2312" w:hAnsi="宋体" w:cs="Times New Roman" w:hint="eastAsia"/>
          <w:color w:val="000000"/>
          <w:sz w:val="28"/>
          <w:szCs w:val="28"/>
        </w:rPr>
        <w:t>本学科现有在读研究生80人，其中境内研究生62人，境外研究生18人。境外研究生中有港澳台学生</w:t>
      </w:r>
      <w:r w:rsidRPr="00BB5683">
        <w:rPr>
          <w:rFonts w:ascii="仿宋_GB2312" w:eastAsia="仿宋_GB2312" w:hAnsi="宋体" w:cs="Times New Roman"/>
          <w:color w:val="000000"/>
          <w:sz w:val="28"/>
          <w:szCs w:val="28"/>
        </w:rPr>
        <w:t>1</w:t>
      </w:r>
      <w:r w:rsidRPr="00BB5683">
        <w:rPr>
          <w:rFonts w:ascii="仿宋_GB2312" w:eastAsia="仿宋_GB2312" w:hAnsi="宋体" w:cs="Times New Roman" w:hint="eastAsia"/>
          <w:color w:val="000000"/>
          <w:sz w:val="28"/>
          <w:szCs w:val="28"/>
        </w:rPr>
        <w:t>3人，留学生5人。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3.毕业学位授予</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本年度本学科共授予硕士专业学位</w:t>
      </w:r>
      <w:r w:rsidRPr="00BB5683">
        <w:rPr>
          <w:rFonts w:ascii="仿宋_GB2312" w:eastAsia="仿宋_GB2312" w:hAnsi="宋体" w:cs="Times New Roman"/>
          <w:sz w:val="28"/>
          <w:szCs w:val="28"/>
        </w:rPr>
        <w:t>4</w:t>
      </w:r>
      <w:r w:rsidRPr="00BB5683">
        <w:rPr>
          <w:rFonts w:ascii="仿宋_GB2312" w:eastAsia="仿宋_GB2312" w:hAnsi="宋体" w:cs="Times New Roman" w:hint="eastAsia"/>
          <w:sz w:val="28"/>
          <w:szCs w:val="28"/>
        </w:rPr>
        <w:t>5人。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4.就业</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本年度本学科毕业人数为</w:t>
      </w:r>
      <w:r w:rsidRPr="00BB5683">
        <w:rPr>
          <w:rFonts w:ascii="仿宋_GB2312" w:eastAsia="仿宋_GB2312" w:hAnsi="宋体" w:cs="Times New Roman"/>
          <w:sz w:val="28"/>
          <w:szCs w:val="28"/>
        </w:rPr>
        <w:t>43</w:t>
      </w:r>
      <w:r w:rsidRPr="00BB5683">
        <w:rPr>
          <w:rFonts w:ascii="仿宋_GB2312" w:eastAsia="仿宋_GB2312" w:hAnsi="宋体" w:cs="Times New Roman" w:hint="eastAsia"/>
          <w:sz w:val="28"/>
          <w:szCs w:val="28"/>
        </w:rPr>
        <w:t>人，就业率为100%。从就业去向来看，</w:t>
      </w:r>
      <w:r w:rsidRPr="00BB5683">
        <w:rPr>
          <w:rFonts w:ascii="仿宋_GB2312" w:eastAsia="仿宋_GB2312" w:hAnsi="宋体" w:cs="Times New Roman"/>
          <w:sz w:val="28"/>
          <w:szCs w:val="28"/>
        </w:rPr>
        <w:t>70</w:t>
      </w:r>
      <w:r w:rsidRPr="00BB5683">
        <w:rPr>
          <w:rFonts w:ascii="仿宋_GB2312" w:eastAsia="仿宋_GB2312" w:hAnsi="宋体" w:cs="Times New Roman" w:hint="eastAsia"/>
          <w:sz w:val="28"/>
          <w:szCs w:val="28"/>
        </w:rPr>
        <w:t>%的毕业生签订协议。从就业单位类型来看，约</w:t>
      </w:r>
      <w:r w:rsidRPr="00BB5683">
        <w:rPr>
          <w:rFonts w:ascii="仿宋_GB2312" w:eastAsia="仿宋_GB2312" w:hAnsi="宋体" w:cs="Times New Roman"/>
          <w:sz w:val="28"/>
          <w:szCs w:val="28"/>
        </w:rPr>
        <w:t>20</w:t>
      </w:r>
      <w:r w:rsidRPr="00BB5683">
        <w:rPr>
          <w:rFonts w:ascii="仿宋_GB2312" w:eastAsia="仿宋_GB2312" w:hAnsi="宋体" w:cs="Times New Roman" w:hint="eastAsia"/>
          <w:sz w:val="28"/>
          <w:szCs w:val="28"/>
        </w:rPr>
        <w:t>%的毕业生</w:t>
      </w:r>
      <w:r w:rsidRPr="00BB5683">
        <w:rPr>
          <w:rFonts w:ascii="仿宋_GB2312" w:eastAsia="仿宋_GB2312" w:hAnsi="宋体" w:cs="Times New Roman" w:hint="eastAsia"/>
          <w:sz w:val="28"/>
          <w:szCs w:val="28"/>
        </w:rPr>
        <w:lastRenderedPageBreak/>
        <w:t>选择进入政府机关或事业单位，约</w:t>
      </w:r>
      <w:r w:rsidRPr="00BB5683">
        <w:rPr>
          <w:rFonts w:ascii="仿宋_GB2312" w:eastAsia="仿宋_GB2312" w:hAnsi="宋体" w:cs="Times New Roman"/>
          <w:sz w:val="28"/>
          <w:szCs w:val="28"/>
        </w:rPr>
        <w:t>75</w:t>
      </w:r>
      <w:r w:rsidRPr="00BB5683">
        <w:rPr>
          <w:rFonts w:ascii="仿宋_GB2312" w:eastAsia="仿宋_GB2312" w:hAnsi="宋体" w:cs="Times New Roman" w:hint="eastAsia"/>
          <w:sz w:val="28"/>
          <w:szCs w:val="28"/>
        </w:rPr>
        <w:t>%的毕业生选择进入国有企业、三资企业和民营企业等各类企业，另有</w:t>
      </w:r>
      <w:r w:rsidRPr="00BB5683">
        <w:rPr>
          <w:rFonts w:ascii="仿宋_GB2312" w:eastAsia="仿宋_GB2312" w:hAnsi="宋体" w:cs="Times New Roman"/>
          <w:sz w:val="28"/>
          <w:szCs w:val="28"/>
        </w:rPr>
        <w:t>5</w:t>
      </w:r>
      <w:r w:rsidRPr="00BB5683">
        <w:rPr>
          <w:rFonts w:ascii="仿宋_GB2312" w:eastAsia="仿宋_GB2312" w:hAnsi="宋体" w:cs="Times New Roman" w:hint="eastAsia"/>
          <w:sz w:val="28"/>
          <w:szCs w:val="28"/>
        </w:rPr>
        <w:t>%的毕业生选择进入其他单位。</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毕业生从事跨国性业务匹配度达65%以上，从事经贸与金融服务的行业匹配性达95%，企业的用工满意度良好。根据20</w:t>
      </w:r>
      <w:r w:rsidRPr="00BB5683">
        <w:rPr>
          <w:rFonts w:ascii="仿宋_GB2312" w:eastAsia="仿宋_GB2312" w:hAnsi="宋体" w:cs="Times New Roman"/>
          <w:sz w:val="28"/>
          <w:szCs w:val="28"/>
        </w:rPr>
        <w:t>20</w:t>
      </w:r>
      <w:r w:rsidRPr="00BB5683">
        <w:rPr>
          <w:rFonts w:ascii="仿宋_GB2312" w:eastAsia="仿宋_GB2312" w:hAnsi="宋体" w:cs="Times New Roman" w:hint="eastAsia"/>
          <w:sz w:val="28"/>
          <w:szCs w:val="28"/>
        </w:rPr>
        <w:t>年的用人单位满意度问卷调查，有97.</w:t>
      </w:r>
      <w:r w:rsidRPr="00BB5683">
        <w:rPr>
          <w:rFonts w:ascii="仿宋_GB2312" w:eastAsia="仿宋_GB2312" w:hAnsi="宋体" w:cs="Times New Roman"/>
          <w:sz w:val="28"/>
          <w:szCs w:val="28"/>
        </w:rPr>
        <w:t>5</w:t>
      </w:r>
      <w:r w:rsidRPr="00BB5683">
        <w:rPr>
          <w:rFonts w:ascii="仿宋_GB2312" w:eastAsia="仿宋_GB2312" w:hAnsi="宋体" w:cs="Times New Roman" w:hint="eastAsia"/>
          <w:sz w:val="28"/>
          <w:szCs w:val="28"/>
        </w:rPr>
        <w:t>6%用人单位认为我校毕业生在工作中能当大任，非常愿意招聘我校毕业生；100%的用人单位都对我校毕业生的综合素质表示满意。</w:t>
      </w:r>
    </w:p>
    <w:p w:rsidR="00BB5683" w:rsidRPr="00BB5683" w:rsidRDefault="00BB5683" w:rsidP="00BB5683">
      <w:pPr>
        <w:rPr>
          <w:rFonts w:ascii="仿宋_GB2312" w:eastAsia="仿宋_GB2312" w:hAnsi="宋体" w:cs="Times New Roman"/>
          <w:b/>
          <w:color w:val="FF0000"/>
          <w:sz w:val="28"/>
          <w:szCs w:val="28"/>
        </w:rPr>
      </w:pPr>
      <w:r w:rsidRPr="00BB5683">
        <w:rPr>
          <w:rFonts w:ascii="仿宋_GB2312" w:eastAsia="仿宋_GB2312" w:hAnsi="宋体" w:cs="Times New Roman" w:hint="eastAsia"/>
          <w:b/>
          <w:sz w:val="28"/>
          <w:szCs w:val="28"/>
        </w:rPr>
        <w:t>（三）研究生导师状况（总体规模、队伍结构）</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1.校内导师</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本学科共有全职研究</w:t>
      </w:r>
      <w:r w:rsidRPr="00BB5683">
        <w:rPr>
          <w:rFonts w:ascii="仿宋_GB2312" w:eastAsia="仿宋_GB2312" w:hAnsi="宋体" w:cs="Times New Roman" w:hint="eastAsia"/>
          <w:color w:val="000000"/>
          <w:sz w:val="28"/>
          <w:szCs w:val="28"/>
        </w:rPr>
        <w:t>生导师</w:t>
      </w:r>
      <w:r w:rsidRPr="00BB5683">
        <w:rPr>
          <w:rFonts w:ascii="仿宋_GB2312" w:eastAsia="仿宋_GB2312" w:hAnsi="宋体" w:cs="Times New Roman"/>
          <w:color w:val="000000"/>
          <w:sz w:val="28"/>
          <w:szCs w:val="28"/>
        </w:rPr>
        <w:t>17</w:t>
      </w:r>
      <w:r w:rsidRPr="00BB5683">
        <w:rPr>
          <w:rFonts w:ascii="仿宋_GB2312" w:eastAsia="仿宋_GB2312" w:hAnsi="宋体" w:cs="Times New Roman" w:hint="eastAsia"/>
          <w:color w:val="000000"/>
          <w:sz w:val="28"/>
          <w:szCs w:val="28"/>
        </w:rPr>
        <w:t>人。学历结构</w:t>
      </w:r>
      <w:r w:rsidRPr="00BB5683">
        <w:rPr>
          <w:rFonts w:ascii="仿宋_GB2312" w:eastAsia="仿宋_GB2312" w:hAnsi="宋体" w:cs="Times New Roman" w:hint="eastAsia"/>
          <w:sz w:val="28"/>
          <w:szCs w:val="28"/>
        </w:rPr>
        <w:t>上，研究生导师中具有博士学位人数为</w:t>
      </w:r>
      <w:r w:rsidRPr="00BB5683">
        <w:rPr>
          <w:rFonts w:ascii="仿宋_GB2312" w:eastAsia="仿宋_GB2312" w:hAnsi="宋体" w:cs="Times New Roman"/>
          <w:sz w:val="28"/>
          <w:szCs w:val="28"/>
        </w:rPr>
        <w:t>17</w:t>
      </w:r>
      <w:r w:rsidRPr="00BB5683">
        <w:rPr>
          <w:rFonts w:ascii="仿宋_GB2312" w:eastAsia="仿宋_GB2312" w:hAnsi="宋体" w:cs="Times New Roman" w:hint="eastAsia"/>
          <w:sz w:val="28"/>
          <w:szCs w:val="28"/>
        </w:rPr>
        <w:t>人，</w:t>
      </w:r>
      <w:r w:rsidRPr="00BB5683">
        <w:rPr>
          <w:rFonts w:ascii="仿宋_GB2312" w:eastAsia="仿宋_GB2312" w:hAnsi="宋体" w:cs="Times New Roman"/>
          <w:sz w:val="28"/>
          <w:szCs w:val="28"/>
        </w:rPr>
        <w:t>70</w:t>
      </w:r>
      <w:r w:rsidRPr="00BB5683">
        <w:rPr>
          <w:rFonts w:ascii="仿宋_GB2312" w:eastAsia="仿宋_GB2312" w:hAnsi="宋体" w:cs="Times New Roman" w:hint="eastAsia"/>
          <w:sz w:val="28"/>
          <w:szCs w:val="28"/>
        </w:rPr>
        <w:t>%以上的教师具有海外深造的经历。职称结构上，研究生导师中正高职称</w:t>
      </w:r>
      <w:r w:rsidRPr="00BB5683">
        <w:rPr>
          <w:rFonts w:ascii="仿宋_GB2312" w:eastAsia="仿宋_GB2312" w:hAnsi="宋体" w:cs="Times New Roman"/>
          <w:sz w:val="28"/>
          <w:szCs w:val="28"/>
        </w:rPr>
        <w:t>6</w:t>
      </w:r>
      <w:r w:rsidRPr="00BB5683">
        <w:rPr>
          <w:rFonts w:ascii="仿宋_GB2312" w:eastAsia="仿宋_GB2312" w:hAnsi="宋体" w:cs="Times New Roman" w:hint="eastAsia"/>
          <w:sz w:val="28"/>
          <w:szCs w:val="28"/>
        </w:rPr>
        <w:t>人，副高职称</w:t>
      </w:r>
      <w:r w:rsidRPr="00BB5683">
        <w:rPr>
          <w:rFonts w:ascii="仿宋_GB2312" w:eastAsia="仿宋_GB2312" w:hAnsi="宋体" w:cs="Times New Roman"/>
          <w:sz w:val="28"/>
          <w:szCs w:val="28"/>
        </w:rPr>
        <w:t>11</w:t>
      </w:r>
      <w:r w:rsidRPr="00BB5683">
        <w:rPr>
          <w:rFonts w:ascii="仿宋_GB2312" w:eastAsia="仿宋_GB2312" w:hAnsi="宋体" w:cs="Times New Roman" w:hint="eastAsia"/>
          <w:sz w:val="28"/>
          <w:szCs w:val="28"/>
        </w:rPr>
        <w:t>人。年龄结构上，研究生导师中46-60岁人数为</w:t>
      </w:r>
      <w:r w:rsidRPr="00BB5683">
        <w:rPr>
          <w:rFonts w:ascii="仿宋_GB2312" w:eastAsia="仿宋_GB2312" w:hAnsi="宋体" w:cs="Times New Roman"/>
          <w:sz w:val="28"/>
          <w:szCs w:val="28"/>
        </w:rPr>
        <w:t>16</w:t>
      </w:r>
      <w:r w:rsidRPr="00BB5683">
        <w:rPr>
          <w:rFonts w:ascii="仿宋_GB2312" w:eastAsia="仿宋_GB2312" w:hAnsi="宋体" w:cs="Times New Roman" w:hint="eastAsia"/>
          <w:sz w:val="28"/>
          <w:szCs w:val="28"/>
        </w:rPr>
        <w:t>人，36-45岁人数为</w:t>
      </w:r>
      <w:r w:rsidRPr="00BB5683">
        <w:rPr>
          <w:rFonts w:ascii="仿宋_GB2312" w:eastAsia="仿宋_GB2312" w:hAnsi="宋体" w:cs="Times New Roman"/>
          <w:sz w:val="28"/>
          <w:szCs w:val="28"/>
        </w:rPr>
        <w:t>1</w:t>
      </w:r>
      <w:r w:rsidRPr="00BB5683">
        <w:rPr>
          <w:rFonts w:ascii="仿宋_GB2312" w:eastAsia="仿宋_GB2312" w:hAnsi="宋体" w:cs="Times New Roman" w:hint="eastAsia"/>
          <w:sz w:val="28"/>
          <w:szCs w:val="28"/>
        </w:rPr>
        <w:t>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2.校外导师</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此外，本学科实行学术实践“双导师”模式，聘请一批实践经验丰富的企业高级管理人员、政府公务人员、国内外著名专家担任兼职实践导师。</w:t>
      </w:r>
      <w:r w:rsidRPr="00BB5683">
        <w:rPr>
          <w:rFonts w:ascii="仿宋_GB2312" w:eastAsia="仿宋_GB2312" w:hAnsi="Calibri" w:cs="Times New Roman" w:hint="eastAsia"/>
          <w:sz w:val="28"/>
          <w:szCs w:val="28"/>
        </w:rPr>
        <w:t>截止目前有校外导师</w:t>
      </w:r>
      <w:r w:rsidRPr="00BB5683">
        <w:rPr>
          <w:rFonts w:ascii="仿宋_GB2312" w:eastAsia="仿宋_GB2312" w:hAnsi="Calibri" w:cs="Times New Roman"/>
          <w:sz w:val="28"/>
          <w:szCs w:val="28"/>
        </w:rPr>
        <w:t>45</w:t>
      </w:r>
      <w:r w:rsidRPr="00BB5683">
        <w:rPr>
          <w:rFonts w:ascii="仿宋_GB2312" w:eastAsia="仿宋_GB2312" w:hAnsi="Calibri" w:cs="Times New Roman" w:hint="eastAsia"/>
          <w:sz w:val="28"/>
          <w:szCs w:val="28"/>
        </w:rPr>
        <w:t>人，其中7人来自党政机关，3</w:t>
      </w:r>
      <w:r w:rsidRPr="00BB5683">
        <w:rPr>
          <w:rFonts w:ascii="仿宋_GB2312" w:eastAsia="仿宋_GB2312" w:hAnsi="Calibri" w:cs="Times New Roman"/>
          <w:sz w:val="28"/>
          <w:szCs w:val="28"/>
        </w:rPr>
        <w:t>8</w:t>
      </w:r>
      <w:r w:rsidRPr="00BB5683">
        <w:rPr>
          <w:rFonts w:ascii="仿宋_GB2312" w:eastAsia="仿宋_GB2312" w:hAnsi="Calibri" w:cs="Times New Roman" w:hint="eastAsia"/>
          <w:sz w:val="28"/>
          <w:szCs w:val="28"/>
        </w:rPr>
        <w:t>人来自企业单位，人均工作年限在</w:t>
      </w:r>
      <w:r w:rsidRPr="00BB5683">
        <w:rPr>
          <w:rFonts w:ascii="仿宋_GB2312" w:eastAsia="仿宋_GB2312" w:hAnsi="Calibri" w:cs="Times New Roman"/>
          <w:sz w:val="28"/>
          <w:szCs w:val="28"/>
        </w:rPr>
        <w:t>8</w:t>
      </w:r>
      <w:r w:rsidRPr="00BB5683">
        <w:rPr>
          <w:rFonts w:ascii="仿宋_GB2312" w:eastAsia="仿宋_GB2312" w:hAnsi="Calibri" w:cs="Times New Roman" w:hint="eastAsia"/>
          <w:sz w:val="28"/>
          <w:szCs w:val="28"/>
        </w:rPr>
        <w:t>年以上。</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二、研究生党建与思想政治教育工作</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在习近平总书记两度视察广东、粤港澳大湾区战略推进之天时、地利大好形势下,本学科深入贯彻习近平总书记亲临学校所做的重要</w:t>
      </w:r>
      <w:r w:rsidRPr="00BB5683">
        <w:rPr>
          <w:rFonts w:ascii="仿宋_GB2312" w:eastAsia="仿宋_GB2312" w:hAnsi="宋体" w:cs="Times New Roman" w:hint="eastAsia"/>
          <w:sz w:val="28"/>
          <w:szCs w:val="28"/>
        </w:rPr>
        <w:lastRenderedPageBreak/>
        <w:t>讲话精神,全面落实教育部“三全育人”改革部署,为学科建设立心,为人才培养铸魂，践行社会主义大学育人使命。</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（一）思想政治教育队伍建设</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1.党委全面领导作用突出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学院党委获批“广东省党建工作标杆院系”培育创建单位。院系党组织“守好责任田”，主动担负起政治责任和领导责任，牢牢把握住意识形态阵地主导权。学科党建工作扎实有力，品牌效应突出，基层党组织战斗堡垒作用和共产党员的先锋模范作用充分发挥，为凝聚各方力量、提升“大思政”育人合力提供了强大的体制保障，讲政治的传统优势已转化为提升思政工作水平和育人质量的持久动力。</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2.教师、管理人员、校友和家长协调联动</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院系在开学初和毕业前都会举办本科生和研究生朋辈分享会，到目前为止已举办10余场，同心同向发力的良好育人局面已形成。推进思政工作融入课堂教学，引导教师更好地担当起学生健康成长和爱国主义教育的领路人责任。思政育人品牌特色鲜明、亮点突出,多次被作为典型案例和先进做法进行推广，“优秀港澳台侨学生学业精进砥砺前行培养工程”辐射港澳台侨学生。</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（二）理想信念和社会主义核心价值观教育</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1.专业教育</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溯源于50年代设立的政治经济学专业，国际商务专业始终在马克思主义世界观、方法论和经济思想指导下确立起“讲政治”的优良传统，通过课程思政改革固本而开新，将社会主义核心价值观与专业课程学习有机融合，引导学生树立正确的人生观、价值观，提升学生道德修养和社会责任感。例如，将“四个自信”寓于《中国特色社会主义经济理论专题》、“四史”教育纳入《中国经济史》等课堂的教学设计；通过开设《商业伦理》《跨文化管理》等课程以及举办职业道德与商业伦理讲座等形式，培育诚信职业观；将思政元素和育人宗旨细化分解到专业培养计划中。通过建章立制，严格规范教材、授课、科研、学术交流、师资引进等各方面，营造风清气正的网络环境，全天候全方位，确保意识形态阵地管理无漏洞。</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2.实践学习</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具体依托经济管理国家级教学实验示范中心、社会调查中心，发挥实践课堂育人功能；打造“广东千村调查”、“‘百企千人’港澳青年学生实习计划”、“南粤炊烟·行走课堂”等社会实践育人品牌，为学生创造充分认识和研究社会的机会，培养乡愁意识和爱国情怀。通过“名师下午茶”科研实践分享，培养学术操守；聆听“经院校友大讲堂”，学习职业道德。</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（三）校园文化建设</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学科立足百年暨南“面向海外、面向港澳台”办学方向,针对内地生、港澳台侨生和留学生特点,在“至臻学业,多元共融”校园文化氛围中,以“分类培养、分流教学、同相融合”的侨校育人模式具化、做细、落实大思政。通过“红色基因·学生党员先锋培育计划” “信仰启航”“先锋示范”“卓越领航”三大工程，培养“有家国情怀、有过硬本领、有国际视野”的又红又专优秀学科人才；通过实施“优秀港澳台侨学生学业精进砥砺前行培养工程”、组建“港澳台侨学生国情社情考察团”,引导港澳台侨学生增强“四个认同”。</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（四）日常管理服务工作</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在日常教育管理方面，学院下设学科建设与研究生培养办公室，负责招生就业、教学管理、学生工作等方面的研究生日常管理事务，并设置专职工作人员负责本专业研究生的培养管理；为了实现管理工作的制度化和规范化，学校和学院出台了一系列的规章制度以构建更加完善的研究生教育管理体系；投入搭建了研究生综合服务平台，实现了管理工作的信息化和效率提升。在生活服务方面，学院积极开展学生寝室开学走访和各类谈心谈话活动，及时了解学生的思想状况和心理健康问题，倾听学生关于生活、学习、就业等各方面的诉求，关注华侨、留学生的在校学业生活，帮扶经济困难学生，关心少数民族学生等；通过院研究生会开展形式多样的文娱活动与</w:t>
      </w:r>
      <w:r w:rsidRPr="00BB5683">
        <w:rPr>
          <w:rFonts w:ascii="仿宋_GB2312" w:eastAsia="仿宋_GB2312" w:hAnsi="Calibri" w:cs="Times New Roman" w:hint="eastAsia"/>
          <w:sz w:val="28"/>
          <w:szCs w:val="28"/>
        </w:rPr>
        <w:t>朋辈交流活动，极大丰富了研究生的课余生活。</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三、研究生培养相关制度及执行情况</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（一）课程建设与实施情况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立足培养目标。国际商务硕士专业学位是针对我国适应经济全球化趋势，全面建设开放型经济体系的需要，培养具有较强的专业能力和职业素养、能够创造性地从事国际商务实际工作的高层次应用型专门人才而设置的一种专业学位类型。我校共开设了包括国际投资与跨国企业管理、国际商务谈判、专业英语、商业伦理、企业战略管理、国际商法、经济学分析与应用等在内的29门专业学位课程。</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立足国际视角。针对专业特点，依托着地缘优势和侨校优势，紧紧围绕“面向海外，面向港澳”的办学宗旨，以粤港澳大湾区的发展为导向，不断强化国际化的办学特色，强调课程体系国际接轨与中国特色的有机结合，注重跨文化沟通技巧训练。培养具有国际化视野、基础知识扎实、应用能力强的国际商务人才。此外，来自世界各地不同文化背景的学生群体为在我校国际商务专业学习创造了得天独厚的国际化环境。</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立足实际需求。秉承暨南大学务实创新的办学传统，国际商务专业始终坚持立足于市场需求。教师根据对实际企业运营情况的了解，实现理论与实践相结合，促进教学改革的实施和教师教学水平的提升。增加企业方面的实践培训，使我校培养的毕业生能够更加符合社会行业的发展需求和企业的要求。</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（二）导师选拔培训</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1.加强对准导师的综合素质考察</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针对导师的综合素质进行考察是确保师生关系和谐的关键一环，在导师遴选过程中，制定综合素质考察体系指标，采取集中讨论、问卷调查和谈话等方式全方位考察准导师在思想政治素质、师德师风等方面的情况，对于考察情况不合格的，应暂缓其申请导师的资格。</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2.健全导师定期考核机制</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为确保研究生能够顺利在导师的指导下完成毕业论文等学习科研任务，学校除了现有的对研究生进行中期考核制度外，也应对研究生导师进行定期考核。考核分别从软件和硬件两个方面进行：一是考核研究生导师对研究生的指导情况，二是考察研究生完成论文所需要的实验或其他条件是否具备。组织考察的部门可以采取匿名问卷调查和访谈等方式进行。通过定期考核，可有效督促研究生导师履行导师职责。</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3.严格审查准导师的课题方向和科研经费</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课题方向不仅决定了研究生在研究过程中可能达到的理论深度，还影响着研究生毕业后的就业方向，而科研经费是保证研究生顺利完成科研的物质保障，二者缺一不可，都对研究生的培养过程有着重要影响。在导师遴选过程中，组织专家对准导师的课题方向进行严格审查论证，对课题是否适合用于培养硕士或博士研究生做出裁定。财务部门协助导师评选小组做好准导师的科研经费核实工作。</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（三）师德师风建设情况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1.建设机制</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学科将习近平新时代中国特色社会主义思想，特别是习近平总书记关于教育的重要论述和视察暨南大学重要讲话精神，作为立师德、铸师魂的思想之源、理论之基，引领广大教师筑牢信仰之基，坚守教育报国初心，勇担立德树人使命，锻造素质优良、甘于奉献的教师队伍。</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建章立制，落实师德师风第一标准。建立和完善师德师风建设规章制度体系，发布师德考核实施办法、师德“一票否决”实施细则、教师职业道德规范(中英文)等制度，形成一套涵盖师德建设、师德考核与激励、师德失范监督与惩处等全领域制度规范，将师德师风作为评价第一标准贯穿于人才引进、职称评聘、岗位聘用、导师遴选、评优奖励和人才推荐等教师职业发展全过程。</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固本强基，严正党风以提升师品教风。通过教师党支部组织力建设实施方案、校院领导建立教师党支部、院系领导“思政第一课”等制度，强化党支部标准化、规范化建设；定期召开教师党支部书记工作例会，开展师德师风建设工作研判、交流，及时处置苗头性、倾向性问题，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传承守正，涵养高尚师德的文化氛围。组织编印《暨南商科百年》一书，厚植家国情怀，书写奋进之笔；开展“不忘初心、传承力量”学习践行活动，向离退休优秀教师汲取精神力量；推出“立德树人一一学生眼中的老师”“暨南经院学人系列” “暨南经院名师系列”“暨南经院院长系列”等文章70余篇，发挥师德榜样力量；通过每年颁发“经济学院特殊贡献奖”表彰从教30周年的教师，以已故经济学家张元元教授名义设立奖教金鼓励师生创新等举措，加强教师的认同感、幸福感和成就感。</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（4）注重培养，加强学习。培养青年教师的马克思主义理论素养，深入学习中华优秀传统文化。</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2.建设成效</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学院党委获广东省“党建工作标杆院系”荣誉称号；学院获批广东省教育科学党建规划项目。</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多位教师担任广东省委宣传部经济形势宣讲团成员、广东省委“两学一做”巡回宣讲团成员等，为广东省直机关、国务院侨办等中央部委相关涉外培训班、香港特别行政区公务员培训班、澳门公务员培训班等开展习近平总书记系列重要讲话精神、国内外经济形势新格局等相关专题讲座数百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在中美贸易摩擦加剧的背景下，学院教师积极通过承担国家课题及发表学术论文来进行相关研究。其中，何凌云老师承担的课题“贸易壁垒下突破性创新政策体系构建研究”获得国家社科基金重大项目立项。</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（四）学术交流情况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为提高学术研究水平和人才培养质量，培养造就一批具有国际视野和国际竞争力的商务专门人才，学院积极推动不同形式的国际学术交流活动：鼓励和资助研究生参与短期出境研究项目、出境交换生项目以及参与本学科具有重要影响力的国际学术会议；定期邀请国外知名专家学者为研究生开设讲座，介绍学科最新研究成果和未来发展趋势。在国际学术交流项目的申请、组织和选拔上，学院按照相关办法通过发布通知、学科组评审、网站公示等流程公开、公正、公平地开展工作，实现信息透明和程序开放。</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（五）研究生奖助情况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本学科研究生奖助学金包括国家奖学金、学业奖学金、国家助学金、三助酬金、优秀干部、优秀毕业生以及社会捐赠奖学金等，形成了较为完善的研究生奖助学金体系，覆盖全体研究生。</w:t>
      </w:r>
    </w:p>
    <w:tbl>
      <w:tblPr>
        <w:tblStyle w:val="a4"/>
        <w:tblW w:w="0" w:type="auto"/>
        <w:tblLayout w:type="fixed"/>
        <w:tblLook w:val="04A0" w:firstRow="1" w:lastRow="0" w:firstColumn="1" w:lastColumn="0" w:noHBand="0" w:noVBand="1"/>
      </w:tblPr>
      <w:tblGrid>
        <w:gridCol w:w="988"/>
        <w:gridCol w:w="2976"/>
        <w:gridCol w:w="1701"/>
        <w:gridCol w:w="1276"/>
        <w:gridCol w:w="1355"/>
      </w:tblGrid>
      <w:tr w:rsidR="00BB5683" w:rsidRPr="00BB5683" w:rsidTr="00E25E20">
        <w:trPr>
          <w:trHeight w:val="285"/>
        </w:trPr>
        <w:tc>
          <w:tcPr>
            <w:tcW w:w="988" w:type="dxa"/>
          </w:tcPr>
          <w:p w:rsidR="00BB5683" w:rsidRPr="00BB5683" w:rsidRDefault="00BB5683" w:rsidP="00BB5683">
            <w:pPr>
              <w:widowControl/>
              <w:jc w:val="center"/>
              <w:rPr>
                <w:rFonts w:ascii="仿宋_GB2312" w:eastAsia="仿宋_GB2312" w:hAnsi="宋体" w:cs="宋体"/>
                <w:b/>
                <w:color w:val="333333"/>
                <w:sz w:val="24"/>
                <w:szCs w:val="24"/>
              </w:rPr>
            </w:pPr>
            <w:r w:rsidRPr="00BB5683">
              <w:rPr>
                <w:rFonts w:ascii="仿宋_GB2312" w:eastAsia="仿宋_GB2312" w:hAnsi="宋体" w:cs="宋体" w:hint="eastAsia"/>
                <w:b/>
                <w:bCs/>
                <w:color w:val="333333"/>
                <w:sz w:val="24"/>
                <w:szCs w:val="24"/>
              </w:rPr>
              <w:t>名称</w:t>
            </w:r>
          </w:p>
        </w:tc>
        <w:tc>
          <w:tcPr>
            <w:tcW w:w="2976" w:type="dxa"/>
          </w:tcPr>
          <w:p w:rsidR="00BB5683" w:rsidRPr="00BB5683" w:rsidRDefault="00BB5683" w:rsidP="00BB5683">
            <w:pPr>
              <w:widowControl/>
              <w:jc w:val="center"/>
              <w:rPr>
                <w:rFonts w:ascii="仿宋_GB2312" w:eastAsia="仿宋_GB2312" w:hAnsi="宋体" w:cs="宋体"/>
                <w:b/>
                <w:color w:val="333333"/>
                <w:sz w:val="24"/>
                <w:szCs w:val="24"/>
              </w:rPr>
            </w:pPr>
            <w:r w:rsidRPr="00BB5683">
              <w:rPr>
                <w:rFonts w:ascii="仿宋_GB2312" w:eastAsia="仿宋_GB2312" w:hAnsi="宋体" w:cs="宋体" w:hint="eastAsia"/>
                <w:b/>
                <w:bCs/>
                <w:color w:val="333333"/>
                <w:sz w:val="24"/>
                <w:szCs w:val="24"/>
              </w:rPr>
              <w:t>奖励条件</w:t>
            </w:r>
          </w:p>
        </w:tc>
        <w:tc>
          <w:tcPr>
            <w:tcW w:w="1701" w:type="dxa"/>
          </w:tcPr>
          <w:p w:rsidR="00BB5683" w:rsidRPr="00BB5683" w:rsidRDefault="00BB5683" w:rsidP="00BB5683">
            <w:pPr>
              <w:widowControl/>
              <w:jc w:val="center"/>
              <w:rPr>
                <w:rFonts w:ascii="仿宋_GB2312" w:eastAsia="仿宋_GB2312" w:hAnsi="宋体" w:cs="宋体"/>
                <w:b/>
                <w:color w:val="333333"/>
                <w:sz w:val="24"/>
                <w:szCs w:val="24"/>
              </w:rPr>
            </w:pPr>
            <w:r w:rsidRPr="00BB5683">
              <w:rPr>
                <w:rFonts w:ascii="仿宋_GB2312" w:eastAsia="仿宋_GB2312" w:hAnsi="宋体" w:cs="宋体" w:hint="eastAsia"/>
                <w:b/>
                <w:bCs/>
                <w:color w:val="333333"/>
                <w:sz w:val="24"/>
                <w:szCs w:val="24"/>
              </w:rPr>
              <w:t>奖励名额</w:t>
            </w:r>
          </w:p>
        </w:tc>
        <w:tc>
          <w:tcPr>
            <w:tcW w:w="1276" w:type="dxa"/>
          </w:tcPr>
          <w:p w:rsidR="00BB5683" w:rsidRPr="00BB5683" w:rsidRDefault="00BB5683" w:rsidP="00BB5683">
            <w:pPr>
              <w:widowControl/>
              <w:jc w:val="center"/>
              <w:rPr>
                <w:rFonts w:ascii="仿宋_GB2312" w:eastAsia="仿宋_GB2312" w:hAnsi="宋体" w:cs="宋体"/>
                <w:b/>
                <w:color w:val="333333"/>
                <w:sz w:val="24"/>
                <w:szCs w:val="24"/>
              </w:rPr>
            </w:pPr>
            <w:r w:rsidRPr="00BB5683">
              <w:rPr>
                <w:rFonts w:ascii="仿宋_GB2312" w:eastAsia="仿宋_GB2312" w:hAnsi="宋体" w:cs="宋体" w:hint="eastAsia"/>
                <w:b/>
                <w:bCs/>
                <w:color w:val="333333"/>
                <w:sz w:val="24"/>
                <w:szCs w:val="24"/>
              </w:rPr>
              <w:t>奖励比例</w:t>
            </w:r>
          </w:p>
        </w:tc>
        <w:tc>
          <w:tcPr>
            <w:tcW w:w="1355" w:type="dxa"/>
          </w:tcPr>
          <w:p w:rsidR="00BB5683" w:rsidRPr="00BB5683" w:rsidRDefault="00BB5683" w:rsidP="00BB5683">
            <w:pPr>
              <w:widowControl/>
              <w:jc w:val="center"/>
              <w:rPr>
                <w:rFonts w:ascii="仿宋_GB2312" w:eastAsia="仿宋_GB2312" w:hAnsi="宋体" w:cs="宋体"/>
                <w:b/>
                <w:color w:val="333333"/>
                <w:sz w:val="24"/>
                <w:szCs w:val="24"/>
              </w:rPr>
            </w:pPr>
            <w:r w:rsidRPr="00BB5683">
              <w:rPr>
                <w:rFonts w:ascii="仿宋_GB2312" w:eastAsia="仿宋_GB2312" w:hAnsi="宋体" w:cs="宋体" w:hint="eastAsia"/>
                <w:b/>
                <w:bCs/>
                <w:color w:val="333333"/>
                <w:sz w:val="24"/>
                <w:szCs w:val="24"/>
              </w:rPr>
              <w:t>奖励标准</w:t>
            </w:r>
          </w:p>
        </w:tc>
      </w:tr>
      <w:tr w:rsidR="00BB5683" w:rsidRPr="00BB5683" w:rsidTr="00E25E20">
        <w:tc>
          <w:tcPr>
            <w:tcW w:w="988"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bCs/>
                <w:color w:val="333333"/>
                <w:sz w:val="24"/>
                <w:szCs w:val="24"/>
                <w:shd w:val="clear" w:color="auto" w:fill="FFFFFF"/>
              </w:rPr>
              <w:t>国家奖学金</w:t>
            </w:r>
          </w:p>
        </w:tc>
        <w:tc>
          <w:tcPr>
            <w:tcW w:w="29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用于奖励普通高等学校（以下简称高等学校）中表现优异的全日制研究生。</w:t>
            </w:r>
          </w:p>
        </w:tc>
        <w:tc>
          <w:tcPr>
            <w:tcW w:w="1701"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名额指标以教育部当年实际下达指标为准。</w:t>
            </w:r>
          </w:p>
        </w:tc>
        <w:tc>
          <w:tcPr>
            <w:tcW w:w="1276" w:type="dxa"/>
          </w:tcPr>
          <w:p w:rsidR="00BB5683" w:rsidRPr="00BB5683" w:rsidRDefault="00BB5683" w:rsidP="00BB5683">
            <w:pPr>
              <w:rPr>
                <w:rFonts w:ascii="仿宋_GB2312" w:eastAsia="仿宋_GB2312" w:hAnsi="宋体" w:cs="Times New Roman"/>
                <w:sz w:val="24"/>
                <w:szCs w:val="24"/>
              </w:rPr>
            </w:pPr>
          </w:p>
        </w:tc>
        <w:tc>
          <w:tcPr>
            <w:tcW w:w="1355"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rPr>
              <w:t>2</w:t>
            </w:r>
            <w:r w:rsidRPr="00BB5683">
              <w:rPr>
                <w:rFonts w:ascii="仿宋_GB2312" w:eastAsia="仿宋_GB2312" w:hAnsi="宋体" w:cs="Times New Roman" w:hint="eastAsia"/>
                <w:color w:val="333333"/>
                <w:sz w:val="24"/>
                <w:szCs w:val="24"/>
                <w:shd w:val="clear" w:color="auto" w:fill="FFFFFF"/>
              </w:rPr>
              <w:t>万</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年</w:t>
            </w:r>
          </w:p>
        </w:tc>
      </w:tr>
      <w:tr w:rsidR="00BB5683" w:rsidRPr="00BB5683" w:rsidTr="00E25E20">
        <w:tc>
          <w:tcPr>
            <w:tcW w:w="988"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bCs/>
                <w:color w:val="333333"/>
                <w:sz w:val="24"/>
                <w:szCs w:val="24"/>
                <w:shd w:val="clear" w:color="auto" w:fill="FFFFFF"/>
              </w:rPr>
              <w:t>国家助学金</w:t>
            </w:r>
          </w:p>
        </w:tc>
        <w:tc>
          <w:tcPr>
            <w:tcW w:w="29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sz w:val="24"/>
                <w:szCs w:val="24"/>
              </w:rPr>
              <w:t>用于资助全国普通高等学校纳入全国研究生招生计划的所有全日制研究生（有固定工资收入的除外），补助研究生基本生活支出。获得资助的研究生须具有中华人民共和国国籍。</w:t>
            </w:r>
          </w:p>
        </w:tc>
        <w:tc>
          <w:tcPr>
            <w:tcW w:w="1701"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所有符合条件的研究生</w:t>
            </w:r>
          </w:p>
        </w:tc>
        <w:tc>
          <w:tcPr>
            <w:tcW w:w="12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100%</w:t>
            </w:r>
          </w:p>
        </w:tc>
        <w:tc>
          <w:tcPr>
            <w:tcW w:w="1355" w:type="dxa"/>
          </w:tcPr>
          <w:p w:rsidR="00BB5683" w:rsidRPr="00BB5683" w:rsidRDefault="00BB5683" w:rsidP="00BB5683">
            <w:pPr>
              <w:rPr>
                <w:rFonts w:ascii="仿宋_GB2312" w:eastAsia="仿宋_GB2312" w:hAnsi="宋体" w:cs="Times New Roman"/>
                <w:color w:val="333333"/>
                <w:sz w:val="24"/>
                <w:szCs w:val="24"/>
                <w:shd w:val="clear" w:color="auto" w:fill="FFFFFF"/>
              </w:rPr>
            </w:pPr>
            <w:r w:rsidRPr="00BB5683">
              <w:rPr>
                <w:rFonts w:ascii="仿宋_GB2312" w:eastAsia="仿宋_GB2312" w:hAnsi="宋体" w:cs="Times New Roman" w:hint="eastAsia"/>
                <w:color w:val="333333"/>
                <w:sz w:val="24"/>
                <w:szCs w:val="24"/>
                <w:shd w:val="clear" w:color="auto" w:fill="FFFFFF"/>
              </w:rPr>
              <w:t>硕士：</w:t>
            </w:r>
            <w:r w:rsidRPr="00BB5683">
              <w:rPr>
                <w:rFonts w:ascii="仿宋_GB2312" w:eastAsia="仿宋_GB2312" w:hAnsi="宋体" w:cs="Times New Roman" w:hint="eastAsia"/>
                <w:color w:val="333333"/>
                <w:sz w:val="24"/>
                <w:szCs w:val="24"/>
              </w:rPr>
              <w:t>6000</w:t>
            </w:r>
            <w:r w:rsidRPr="00BB5683">
              <w:rPr>
                <w:rFonts w:ascii="仿宋_GB2312" w:eastAsia="仿宋_GB2312" w:hAnsi="宋体" w:cs="Times New Roman" w:hint="eastAsia"/>
                <w:color w:val="333333"/>
                <w:sz w:val="24"/>
                <w:szCs w:val="24"/>
                <w:shd w:val="clear" w:color="auto" w:fill="FFFFFF"/>
              </w:rPr>
              <w:t>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年</w:t>
            </w:r>
          </w:p>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按月发放</w:t>
            </w:r>
          </w:p>
        </w:tc>
      </w:tr>
      <w:tr w:rsidR="00BB5683" w:rsidRPr="00BB5683" w:rsidTr="00E25E20">
        <w:tc>
          <w:tcPr>
            <w:tcW w:w="988"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bCs/>
                <w:color w:val="333333"/>
                <w:sz w:val="24"/>
                <w:szCs w:val="24"/>
                <w:shd w:val="clear" w:color="auto" w:fill="FFFFFF"/>
              </w:rPr>
              <w:t>学业奖学金</w:t>
            </w:r>
          </w:p>
        </w:tc>
        <w:tc>
          <w:tcPr>
            <w:tcW w:w="2976" w:type="dxa"/>
          </w:tcPr>
          <w:p w:rsidR="00BB5683" w:rsidRPr="00BB5683" w:rsidRDefault="00BB5683" w:rsidP="00BB5683">
            <w:pPr>
              <w:jc w:val="left"/>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纳入全国研究生招生计划的全日制研究生。获得奖励的研究生须具有中华人民共和国国籍</w:t>
            </w:r>
          </w:p>
        </w:tc>
        <w:tc>
          <w:tcPr>
            <w:tcW w:w="1701"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学校根据各培养单位可享受奖学金人数，分配各培养单位奖助学金总额度。各研究生培养单位可根据实际情况，自行调整各等级获奖比例，超出额度部分需自筹补充经费。</w:t>
            </w:r>
          </w:p>
        </w:tc>
        <w:tc>
          <w:tcPr>
            <w:tcW w:w="12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一等：</w:t>
            </w:r>
            <w:r w:rsidRPr="00BB5683">
              <w:rPr>
                <w:rFonts w:ascii="仿宋_GB2312" w:eastAsia="仿宋_GB2312" w:hAnsi="宋体" w:cs="Times New Roman" w:hint="eastAsia"/>
                <w:color w:val="333333"/>
                <w:sz w:val="24"/>
                <w:szCs w:val="24"/>
              </w:rPr>
              <w:t>10%</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二等：</w:t>
            </w:r>
            <w:r w:rsidRPr="00BB5683">
              <w:rPr>
                <w:rFonts w:ascii="仿宋_GB2312" w:eastAsia="仿宋_GB2312" w:hAnsi="宋体" w:cs="Times New Roman" w:hint="eastAsia"/>
                <w:color w:val="333333"/>
                <w:sz w:val="24"/>
                <w:szCs w:val="24"/>
              </w:rPr>
              <w:t>60%</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三等：</w:t>
            </w:r>
            <w:r w:rsidRPr="00BB5683">
              <w:rPr>
                <w:rFonts w:ascii="仿宋_GB2312" w:eastAsia="仿宋_GB2312" w:hAnsi="宋体" w:cs="Times New Roman" w:hint="eastAsia"/>
                <w:color w:val="333333"/>
                <w:sz w:val="24"/>
                <w:szCs w:val="24"/>
              </w:rPr>
              <w:t>30%</w:t>
            </w:r>
          </w:p>
        </w:tc>
        <w:tc>
          <w:tcPr>
            <w:tcW w:w="1355"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一等：</w:t>
            </w:r>
            <w:r w:rsidRPr="00BB5683">
              <w:rPr>
                <w:rFonts w:ascii="仿宋_GB2312" w:eastAsia="仿宋_GB2312" w:hAnsi="宋体" w:cs="Times New Roman" w:hint="eastAsia"/>
                <w:color w:val="333333"/>
                <w:sz w:val="24"/>
                <w:szCs w:val="24"/>
              </w:rPr>
              <w:t>1.2</w:t>
            </w:r>
            <w:r w:rsidRPr="00BB5683">
              <w:rPr>
                <w:rFonts w:ascii="仿宋_GB2312" w:eastAsia="仿宋_GB2312" w:hAnsi="宋体" w:cs="Times New Roman" w:hint="eastAsia"/>
                <w:color w:val="333333"/>
                <w:sz w:val="24"/>
                <w:szCs w:val="24"/>
                <w:shd w:val="clear" w:color="auto" w:fill="FFFFFF"/>
              </w:rPr>
              <w:t>万元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年</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二等：</w:t>
            </w:r>
            <w:r w:rsidRPr="00BB5683">
              <w:rPr>
                <w:rFonts w:ascii="仿宋_GB2312" w:eastAsia="仿宋_GB2312" w:hAnsi="宋体" w:cs="Times New Roman" w:hint="eastAsia"/>
                <w:color w:val="333333"/>
                <w:sz w:val="24"/>
                <w:szCs w:val="24"/>
              </w:rPr>
              <w:t>0.6</w:t>
            </w:r>
            <w:r w:rsidRPr="00BB5683">
              <w:rPr>
                <w:rFonts w:ascii="仿宋_GB2312" w:eastAsia="仿宋_GB2312" w:hAnsi="宋体" w:cs="Times New Roman" w:hint="eastAsia"/>
                <w:color w:val="333333"/>
                <w:sz w:val="24"/>
                <w:szCs w:val="24"/>
                <w:shd w:val="clear" w:color="auto" w:fill="FFFFFF"/>
              </w:rPr>
              <w:t>万元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年</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三等：</w:t>
            </w:r>
            <w:r w:rsidRPr="00BB5683">
              <w:rPr>
                <w:rFonts w:ascii="仿宋_GB2312" w:eastAsia="仿宋_GB2312" w:hAnsi="宋体" w:cs="Times New Roman" w:hint="eastAsia"/>
                <w:color w:val="333333"/>
                <w:sz w:val="24"/>
                <w:szCs w:val="24"/>
              </w:rPr>
              <w:t>0.2</w:t>
            </w:r>
            <w:r w:rsidRPr="00BB5683">
              <w:rPr>
                <w:rFonts w:ascii="仿宋_GB2312" w:eastAsia="仿宋_GB2312" w:hAnsi="宋体" w:cs="Times New Roman" w:hint="eastAsia"/>
                <w:color w:val="333333"/>
                <w:sz w:val="24"/>
                <w:szCs w:val="24"/>
                <w:shd w:val="clear" w:color="auto" w:fill="FFFFFF"/>
              </w:rPr>
              <w:t>万元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年</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一次性发放</w:t>
            </w:r>
          </w:p>
        </w:tc>
      </w:tr>
      <w:tr w:rsidR="00BB5683" w:rsidRPr="00BB5683" w:rsidTr="00E25E20">
        <w:tc>
          <w:tcPr>
            <w:tcW w:w="988"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bCs/>
                <w:color w:val="333333"/>
                <w:sz w:val="24"/>
                <w:szCs w:val="24"/>
                <w:shd w:val="clear" w:color="auto" w:fill="FFFFFF"/>
              </w:rPr>
              <w:t>优秀毕业研究生</w:t>
            </w:r>
          </w:p>
        </w:tc>
        <w:tc>
          <w:tcPr>
            <w:tcW w:w="29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用于奖励在全面发展、志愿服务、社会实践等方面表现突出的应届毕业生。</w:t>
            </w:r>
          </w:p>
        </w:tc>
        <w:tc>
          <w:tcPr>
            <w:tcW w:w="1701"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按当年毕业生人数的</w:t>
            </w:r>
            <w:r w:rsidRPr="00BB5683">
              <w:rPr>
                <w:rFonts w:ascii="仿宋_GB2312" w:eastAsia="仿宋_GB2312" w:hAnsi="宋体" w:cs="Times New Roman" w:hint="eastAsia"/>
                <w:color w:val="333333"/>
                <w:sz w:val="24"/>
                <w:szCs w:val="24"/>
              </w:rPr>
              <w:t>3%</w:t>
            </w:r>
            <w:r w:rsidRPr="00BB5683">
              <w:rPr>
                <w:rFonts w:ascii="仿宋_GB2312" w:eastAsia="仿宋_GB2312" w:hAnsi="宋体" w:cs="Times New Roman" w:hint="eastAsia"/>
                <w:color w:val="333333"/>
                <w:sz w:val="24"/>
                <w:szCs w:val="24"/>
                <w:shd w:val="clear" w:color="auto" w:fill="FFFFFF"/>
              </w:rPr>
              <w:t>评定。</w:t>
            </w:r>
          </w:p>
        </w:tc>
        <w:tc>
          <w:tcPr>
            <w:tcW w:w="12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3%</w:t>
            </w:r>
          </w:p>
        </w:tc>
        <w:tc>
          <w:tcPr>
            <w:tcW w:w="1355"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rPr>
              <w:t>1500元/人</w:t>
            </w:r>
          </w:p>
        </w:tc>
      </w:tr>
      <w:tr w:rsidR="00BB5683" w:rsidRPr="00BB5683" w:rsidTr="00E25E20">
        <w:tc>
          <w:tcPr>
            <w:tcW w:w="988"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bCs/>
                <w:color w:val="333333"/>
                <w:sz w:val="24"/>
                <w:szCs w:val="24"/>
                <w:shd w:val="clear" w:color="auto" w:fill="FFFFFF"/>
              </w:rPr>
              <w:t>优秀研究生干部奖</w:t>
            </w:r>
          </w:p>
        </w:tc>
        <w:tc>
          <w:tcPr>
            <w:tcW w:w="2976"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用于奖励在学校及学院研究生会表现突出的学生干部</w:t>
            </w:r>
          </w:p>
        </w:tc>
        <w:tc>
          <w:tcPr>
            <w:tcW w:w="1701" w:type="dxa"/>
          </w:tcPr>
          <w:p w:rsidR="00BB5683" w:rsidRPr="00BB5683" w:rsidRDefault="00BB5683" w:rsidP="00BB5683">
            <w:pPr>
              <w:rPr>
                <w:rFonts w:ascii="仿宋_GB2312" w:eastAsia="仿宋_GB2312" w:hAnsi="宋体" w:cs="Times New Roman"/>
                <w:sz w:val="24"/>
                <w:szCs w:val="24"/>
              </w:rPr>
            </w:pPr>
          </w:p>
        </w:tc>
        <w:tc>
          <w:tcPr>
            <w:tcW w:w="1276" w:type="dxa"/>
          </w:tcPr>
          <w:p w:rsidR="00BB5683" w:rsidRPr="00BB5683" w:rsidRDefault="00BB5683" w:rsidP="00BB5683">
            <w:pPr>
              <w:rPr>
                <w:rFonts w:ascii="仿宋_GB2312" w:eastAsia="仿宋_GB2312" w:hAnsi="宋体" w:cs="Times New Roman"/>
                <w:sz w:val="24"/>
                <w:szCs w:val="24"/>
              </w:rPr>
            </w:pPr>
          </w:p>
        </w:tc>
        <w:tc>
          <w:tcPr>
            <w:tcW w:w="1355"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一等奖：</w:t>
            </w:r>
            <w:r w:rsidRPr="00BB5683">
              <w:rPr>
                <w:rFonts w:ascii="仿宋_GB2312" w:eastAsia="仿宋_GB2312" w:hAnsi="宋体" w:cs="Times New Roman" w:hint="eastAsia"/>
                <w:color w:val="333333"/>
                <w:sz w:val="24"/>
                <w:szCs w:val="24"/>
              </w:rPr>
              <w:t>1500</w:t>
            </w:r>
            <w:r w:rsidRPr="00BB5683">
              <w:rPr>
                <w:rFonts w:ascii="仿宋_GB2312" w:eastAsia="仿宋_GB2312" w:hAnsi="宋体" w:cs="Times New Roman" w:hint="eastAsia"/>
                <w:color w:val="333333"/>
                <w:sz w:val="24"/>
                <w:szCs w:val="24"/>
                <w:shd w:val="clear" w:color="auto" w:fill="FFFFFF"/>
              </w:rPr>
              <w:t>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人</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二等奖：</w:t>
            </w:r>
            <w:r w:rsidRPr="00BB5683">
              <w:rPr>
                <w:rFonts w:ascii="仿宋_GB2312" w:eastAsia="仿宋_GB2312" w:hAnsi="宋体" w:cs="Times New Roman" w:hint="eastAsia"/>
                <w:color w:val="333333"/>
                <w:sz w:val="24"/>
                <w:szCs w:val="24"/>
              </w:rPr>
              <w:t>1000</w:t>
            </w:r>
            <w:r w:rsidRPr="00BB5683">
              <w:rPr>
                <w:rFonts w:ascii="仿宋_GB2312" w:eastAsia="仿宋_GB2312" w:hAnsi="宋体" w:cs="Times New Roman" w:hint="eastAsia"/>
                <w:color w:val="333333"/>
                <w:sz w:val="24"/>
                <w:szCs w:val="24"/>
                <w:shd w:val="clear" w:color="auto" w:fill="FFFFFF"/>
              </w:rPr>
              <w:t>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人</w:t>
            </w:r>
            <w:r w:rsidRPr="00BB5683">
              <w:rPr>
                <w:rFonts w:ascii="仿宋_GB2312" w:eastAsia="仿宋_GB2312" w:hAnsi="宋体" w:cs="Times New Roman" w:hint="eastAsia"/>
                <w:color w:val="333333"/>
                <w:sz w:val="24"/>
                <w:szCs w:val="24"/>
              </w:rPr>
              <w:br/>
            </w:r>
            <w:r w:rsidRPr="00BB5683">
              <w:rPr>
                <w:rFonts w:ascii="仿宋_GB2312" w:eastAsia="仿宋_GB2312" w:hAnsi="宋体" w:cs="Times New Roman" w:hint="eastAsia"/>
                <w:color w:val="333333"/>
                <w:sz w:val="24"/>
                <w:szCs w:val="24"/>
                <w:shd w:val="clear" w:color="auto" w:fill="FFFFFF"/>
              </w:rPr>
              <w:t>三等奖：</w:t>
            </w:r>
            <w:r w:rsidRPr="00BB5683">
              <w:rPr>
                <w:rFonts w:ascii="仿宋_GB2312" w:eastAsia="仿宋_GB2312" w:hAnsi="宋体" w:cs="Times New Roman" w:hint="eastAsia"/>
                <w:color w:val="333333"/>
                <w:sz w:val="24"/>
                <w:szCs w:val="24"/>
              </w:rPr>
              <w:t>400</w:t>
            </w:r>
            <w:r w:rsidRPr="00BB5683">
              <w:rPr>
                <w:rFonts w:ascii="仿宋_GB2312" w:eastAsia="仿宋_GB2312" w:hAnsi="宋体" w:cs="Times New Roman" w:hint="eastAsia"/>
                <w:color w:val="333333"/>
                <w:sz w:val="24"/>
                <w:szCs w:val="24"/>
                <w:shd w:val="clear" w:color="auto" w:fill="FFFFFF"/>
              </w:rPr>
              <w:t>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人</w:t>
            </w:r>
          </w:p>
        </w:tc>
      </w:tr>
      <w:tr w:rsidR="00BB5683" w:rsidRPr="00BB5683" w:rsidTr="00E25E20">
        <w:tc>
          <w:tcPr>
            <w:tcW w:w="988" w:type="dxa"/>
          </w:tcPr>
          <w:p w:rsidR="00BB5683" w:rsidRPr="00BB5683" w:rsidRDefault="00BB5683" w:rsidP="00BB5683">
            <w:pPr>
              <w:rPr>
                <w:rFonts w:ascii="仿宋_GB2312" w:eastAsia="仿宋_GB2312" w:hAnsi="宋体" w:cs="Times New Roman"/>
                <w:bCs/>
                <w:color w:val="333333"/>
                <w:sz w:val="24"/>
                <w:szCs w:val="24"/>
                <w:shd w:val="clear" w:color="auto" w:fill="FFFFFF"/>
              </w:rPr>
            </w:pPr>
            <w:r w:rsidRPr="00BB5683">
              <w:rPr>
                <w:rFonts w:ascii="仿宋_GB2312" w:eastAsia="仿宋_GB2312" w:hAnsi="宋体" w:cs="Times New Roman" w:hint="eastAsia"/>
                <w:bCs/>
                <w:color w:val="333333"/>
                <w:sz w:val="24"/>
                <w:szCs w:val="24"/>
                <w:shd w:val="clear" w:color="auto" w:fill="FFFFFF"/>
              </w:rPr>
              <w:t>梁奇达暨南教育奖学金</w:t>
            </w:r>
          </w:p>
        </w:tc>
        <w:tc>
          <w:tcPr>
            <w:tcW w:w="2976" w:type="dxa"/>
          </w:tcPr>
          <w:p w:rsidR="00BB5683" w:rsidRPr="00BB5683" w:rsidRDefault="00BB5683" w:rsidP="00BB5683">
            <w:pPr>
              <w:rPr>
                <w:rFonts w:ascii="仿宋_GB2312" w:eastAsia="仿宋_GB2312" w:hAnsi="宋体" w:cs="Times New Roman"/>
                <w:color w:val="333333"/>
                <w:sz w:val="24"/>
                <w:szCs w:val="24"/>
                <w:shd w:val="clear" w:color="auto" w:fill="FFFFFF"/>
              </w:rPr>
            </w:pPr>
            <w:r w:rsidRPr="00BB5683">
              <w:rPr>
                <w:rFonts w:ascii="仿宋_GB2312" w:eastAsia="仿宋_GB2312" w:hAnsi="宋体" w:cs="Times New Roman" w:hint="eastAsia"/>
                <w:color w:val="333333"/>
                <w:sz w:val="24"/>
                <w:szCs w:val="24"/>
              </w:rPr>
              <w:t>1、取得暨南大学学籍并能够如期毕业的全日制研究生。</w:t>
            </w:r>
            <w:r w:rsidRPr="00BB5683">
              <w:rPr>
                <w:rFonts w:ascii="仿宋_GB2312" w:eastAsia="仿宋_GB2312" w:hAnsi="宋体" w:cs="Times New Roman" w:hint="eastAsia"/>
                <w:color w:val="333333"/>
                <w:sz w:val="24"/>
                <w:szCs w:val="24"/>
              </w:rPr>
              <w:br/>
              <w:t>2、热爱祖国，素质优良，勤奋好学，立志成才报国。</w:t>
            </w:r>
            <w:r w:rsidRPr="00BB5683">
              <w:rPr>
                <w:rFonts w:ascii="仿宋_GB2312" w:eastAsia="仿宋_GB2312" w:hAnsi="宋体" w:cs="Times New Roman" w:hint="eastAsia"/>
                <w:color w:val="333333"/>
                <w:sz w:val="24"/>
                <w:szCs w:val="24"/>
              </w:rPr>
              <w:br/>
              <w:t>3、申请者需获得过校级及以上的奖项。</w:t>
            </w:r>
            <w:r w:rsidRPr="00BB5683">
              <w:rPr>
                <w:rFonts w:ascii="仿宋_GB2312" w:eastAsia="仿宋_GB2312" w:hAnsi="宋体" w:cs="Times New Roman" w:hint="eastAsia"/>
                <w:color w:val="333333"/>
                <w:sz w:val="24"/>
                <w:szCs w:val="24"/>
              </w:rPr>
              <w:br/>
              <w:t>4、遵守国家法律法规及校规校纪，品行端正，在校期间无违法违纪行为。</w:t>
            </w:r>
            <w:r w:rsidRPr="00BB5683">
              <w:rPr>
                <w:rFonts w:ascii="仿宋_GB2312" w:eastAsia="仿宋_GB2312" w:hAnsi="宋体" w:cs="Times New Roman" w:hint="eastAsia"/>
                <w:color w:val="333333"/>
                <w:sz w:val="24"/>
                <w:szCs w:val="24"/>
              </w:rPr>
              <w:br/>
              <w:t>5、关心集体，团结同学，热心助人。</w:t>
            </w:r>
          </w:p>
        </w:tc>
        <w:tc>
          <w:tcPr>
            <w:tcW w:w="1701" w:type="dxa"/>
          </w:tcPr>
          <w:p w:rsidR="00BB5683" w:rsidRPr="00BB5683" w:rsidRDefault="00BB5683" w:rsidP="00BB5683">
            <w:pPr>
              <w:rPr>
                <w:rFonts w:ascii="仿宋_GB2312" w:eastAsia="仿宋_GB2312" w:hAnsi="宋体" w:cs="Times New Roman"/>
                <w:sz w:val="24"/>
                <w:szCs w:val="24"/>
              </w:rPr>
            </w:pPr>
            <w:r w:rsidRPr="00BB5683">
              <w:rPr>
                <w:rFonts w:ascii="仿宋_GB2312" w:eastAsia="仿宋_GB2312" w:hAnsi="宋体" w:cs="Times New Roman" w:hint="eastAsia"/>
                <w:color w:val="333333"/>
                <w:sz w:val="24"/>
                <w:szCs w:val="24"/>
                <w:shd w:val="clear" w:color="auto" w:fill="FFFFFF"/>
              </w:rPr>
              <w:t>全校共</w:t>
            </w:r>
            <w:r w:rsidRPr="00BB5683">
              <w:rPr>
                <w:rFonts w:ascii="仿宋_GB2312" w:eastAsia="仿宋_GB2312" w:hAnsi="宋体" w:cs="Times New Roman" w:hint="eastAsia"/>
                <w:color w:val="333333"/>
                <w:sz w:val="24"/>
                <w:szCs w:val="24"/>
              </w:rPr>
              <w:t>8</w:t>
            </w:r>
            <w:r w:rsidRPr="00BB5683">
              <w:rPr>
                <w:rFonts w:ascii="仿宋_GB2312" w:eastAsia="仿宋_GB2312" w:hAnsi="宋体" w:cs="Times New Roman" w:hint="eastAsia"/>
                <w:color w:val="333333"/>
                <w:sz w:val="24"/>
                <w:szCs w:val="24"/>
                <w:shd w:val="clear" w:color="auto" w:fill="FFFFFF"/>
              </w:rPr>
              <w:t>名，其中博士生</w:t>
            </w:r>
            <w:r w:rsidRPr="00BB5683">
              <w:rPr>
                <w:rFonts w:ascii="仿宋_GB2312" w:eastAsia="仿宋_GB2312" w:hAnsi="宋体" w:cs="Times New Roman" w:hint="eastAsia"/>
                <w:color w:val="333333"/>
                <w:sz w:val="24"/>
                <w:szCs w:val="24"/>
              </w:rPr>
              <w:t>1</w:t>
            </w:r>
            <w:r w:rsidRPr="00BB5683">
              <w:rPr>
                <w:rFonts w:ascii="仿宋_GB2312" w:eastAsia="仿宋_GB2312" w:hAnsi="宋体" w:cs="Times New Roman" w:hint="eastAsia"/>
                <w:color w:val="333333"/>
                <w:sz w:val="24"/>
                <w:szCs w:val="24"/>
                <w:shd w:val="clear" w:color="auto" w:fill="FFFFFF"/>
              </w:rPr>
              <w:t>名，硕士生</w:t>
            </w:r>
            <w:r w:rsidRPr="00BB5683">
              <w:rPr>
                <w:rFonts w:ascii="仿宋_GB2312" w:eastAsia="仿宋_GB2312" w:hAnsi="宋体" w:cs="Times New Roman" w:hint="eastAsia"/>
                <w:color w:val="333333"/>
                <w:sz w:val="24"/>
                <w:szCs w:val="24"/>
              </w:rPr>
              <w:t>2</w:t>
            </w:r>
            <w:r w:rsidRPr="00BB5683">
              <w:rPr>
                <w:rFonts w:ascii="仿宋_GB2312" w:eastAsia="仿宋_GB2312" w:hAnsi="宋体" w:cs="Times New Roman" w:hint="eastAsia"/>
                <w:color w:val="333333"/>
                <w:sz w:val="24"/>
                <w:szCs w:val="24"/>
                <w:shd w:val="clear" w:color="auto" w:fill="FFFFFF"/>
              </w:rPr>
              <w:t>名，本科生</w:t>
            </w:r>
            <w:r w:rsidRPr="00BB5683">
              <w:rPr>
                <w:rFonts w:ascii="仿宋_GB2312" w:eastAsia="仿宋_GB2312" w:hAnsi="宋体" w:cs="Times New Roman" w:hint="eastAsia"/>
                <w:color w:val="333333"/>
                <w:sz w:val="24"/>
                <w:szCs w:val="24"/>
              </w:rPr>
              <w:t>5</w:t>
            </w:r>
            <w:r w:rsidRPr="00BB5683">
              <w:rPr>
                <w:rFonts w:ascii="仿宋_GB2312" w:eastAsia="仿宋_GB2312" w:hAnsi="宋体" w:cs="Times New Roman" w:hint="eastAsia"/>
                <w:color w:val="333333"/>
                <w:sz w:val="24"/>
                <w:szCs w:val="24"/>
                <w:shd w:val="clear" w:color="auto" w:fill="FFFFFF"/>
              </w:rPr>
              <w:t>名。</w:t>
            </w:r>
          </w:p>
        </w:tc>
        <w:tc>
          <w:tcPr>
            <w:tcW w:w="1276" w:type="dxa"/>
          </w:tcPr>
          <w:p w:rsidR="00BB5683" w:rsidRPr="00BB5683" w:rsidRDefault="00BB5683" w:rsidP="00BB5683">
            <w:pPr>
              <w:rPr>
                <w:rFonts w:ascii="仿宋_GB2312" w:eastAsia="仿宋_GB2312" w:hAnsi="宋体" w:cs="Times New Roman"/>
                <w:sz w:val="24"/>
                <w:szCs w:val="24"/>
              </w:rPr>
            </w:pPr>
          </w:p>
        </w:tc>
        <w:tc>
          <w:tcPr>
            <w:tcW w:w="1355" w:type="dxa"/>
          </w:tcPr>
          <w:p w:rsidR="00BB5683" w:rsidRPr="00BB5683" w:rsidRDefault="00BB5683" w:rsidP="00BB5683">
            <w:pPr>
              <w:rPr>
                <w:rFonts w:ascii="仿宋_GB2312" w:eastAsia="仿宋_GB2312" w:hAnsi="宋体" w:cs="Times New Roman"/>
                <w:color w:val="333333"/>
                <w:sz w:val="24"/>
                <w:szCs w:val="24"/>
                <w:shd w:val="clear" w:color="auto" w:fill="FFFFFF"/>
              </w:rPr>
            </w:pPr>
            <w:r w:rsidRPr="00BB5683">
              <w:rPr>
                <w:rFonts w:ascii="仿宋_GB2312" w:eastAsia="仿宋_GB2312" w:hAnsi="宋体" w:cs="Times New Roman" w:hint="eastAsia"/>
                <w:color w:val="333333"/>
                <w:sz w:val="24"/>
                <w:szCs w:val="24"/>
              </w:rPr>
              <w:t>3000元/人</w:t>
            </w:r>
          </w:p>
        </w:tc>
      </w:tr>
      <w:tr w:rsidR="00BB5683" w:rsidRPr="00BB5683" w:rsidTr="00E25E20">
        <w:trPr>
          <w:trHeight w:val="705"/>
        </w:trPr>
        <w:tc>
          <w:tcPr>
            <w:tcW w:w="988"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bCs/>
                <w:color w:val="333333"/>
                <w:sz w:val="24"/>
                <w:szCs w:val="24"/>
              </w:rPr>
              <w:t>南航“十分”关爱励学金</w:t>
            </w:r>
          </w:p>
        </w:tc>
        <w:tc>
          <w:tcPr>
            <w:tcW w:w="2976"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color w:val="333333"/>
                <w:sz w:val="24"/>
                <w:szCs w:val="24"/>
              </w:rPr>
              <w:t>在读全日制本科及研究生中品学兼优的生活贫困学生（含一般经济困难学生和经济特别困难学生）</w:t>
            </w:r>
          </w:p>
        </w:tc>
        <w:tc>
          <w:tcPr>
            <w:tcW w:w="1701"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color w:val="333333"/>
                <w:sz w:val="24"/>
                <w:szCs w:val="24"/>
              </w:rPr>
              <w:t>20名研究生</w:t>
            </w:r>
          </w:p>
        </w:tc>
        <w:tc>
          <w:tcPr>
            <w:tcW w:w="1276"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MS Gothic" w:eastAsia="MS Gothic" w:hAnsi="MS Gothic" w:cs="MS Gothic" w:hint="eastAsia"/>
                <w:color w:val="333333"/>
                <w:sz w:val="24"/>
                <w:szCs w:val="24"/>
              </w:rPr>
              <w:t>​</w:t>
            </w:r>
          </w:p>
        </w:tc>
        <w:tc>
          <w:tcPr>
            <w:tcW w:w="1355"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color w:val="333333"/>
                <w:sz w:val="24"/>
                <w:szCs w:val="24"/>
              </w:rPr>
              <w:t>4000元/人</w:t>
            </w:r>
          </w:p>
        </w:tc>
      </w:tr>
      <w:tr w:rsidR="00BB5683" w:rsidRPr="00BB5683" w:rsidTr="00E25E20">
        <w:trPr>
          <w:trHeight w:val="930"/>
        </w:trPr>
        <w:tc>
          <w:tcPr>
            <w:tcW w:w="988"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bCs/>
                <w:color w:val="333333"/>
                <w:sz w:val="24"/>
                <w:szCs w:val="24"/>
              </w:rPr>
              <w:t>顺丰奖学金</w:t>
            </w:r>
          </w:p>
        </w:tc>
        <w:tc>
          <w:tcPr>
            <w:tcW w:w="2976"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color w:val="333333"/>
                <w:sz w:val="24"/>
                <w:szCs w:val="24"/>
              </w:rPr>
              <w:t>“顺丰奖学金”是顺丰速运有限公司为支持我校办学，鼓励大学生勤奋学习，努力钻研，给家境贫寒且成绩优秀的本科生/研究生设立的奖学金。</w:t>
            </w:r>
          </w:p>
        </w:tc>
        <w:tc>
          <w:tcPr>
            <w:tcW w:w="1701"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color w:val="333333"/>
                <w:sz w:val="24"/>
                <w:szCs w:val="24"/>
              </w:rPr>
              <w:t>5名研究生</w:t>
            </w:r>
          </w:p>
        </w:tc>
        <w:tc>
          <w:tcPr>
            <w:tcW w:w="1276"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MS Gothic" w:eastAsia="MS Gothic" w:hAnsi="MS Gothic" w:cs="MS Gothic" w:hint="eastAsia"/>
                <w:color w:val="333333"/>
                <w:sz w:val="24"/>
                <w:szCs w:val="24"/>
              </w:rPr>
              <w:t>​</w:t>
            </w:r>
          </w:p>
        </w:tc>
        <w:tc>
          <w:tcPr>
            <w:tcW w:w="1355"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宋体" w:hint="eastAsia"/>
                <w:color w:val="333333"/>
                <w:sz w:val="24"/>
                <w:szCs w:val="24"/>
              </w:rPr>
              <w:t>5000元/人</w:t>
            </w:r>
          </w:p>
        </w:tc>
      </w:tr>
      <w:tr w:rsidR="00BB5683" w:rsidRPr="00BB5683" w:rsidTr="00E25E20">
        <w:trPr>
          <w:trHeight w:val="930"/>
        </w:trPr>
        <w:tc>
          <w:tcPr>
            <w:tcW w:w="988" w:type="dxa"/>
          </w:tcPr>
          <w:p w:rsidR="00BB5683" w:rsidRPr="00BB5683" w:rsidRDefault="00BB5683" w:rsidP="00BB5683">
            <w:pPr>
              <w:widowControl/>
              <w:jc w:val="left"/>
              <w:rPr>
                <w:rFonts w:ascii="仿宋_GB2312" w:eastAsia="仿宋_GB2312" w:hAnsi="宋体" w:cs="宋体"/>
                <w:bCs/>
                <w:color w:val="333333"/>
                <w:sz w:val="24"/>
                <w:szCs w:val="24"/>
              </w:rPr>
            </w:pPr>
            <w:r w:rsidRPr="00BB5683">
              <w:rPr>
                <w:rFonts w:ascii="仿宋_GB2312" w:eastAsia="仿宋_GB2312" w:hAnsi="宋体" w:cs="Times New Roman" w:hint="eastAsia"/>
                <w:bCs/>
                <w:color w:val="333333"/>
                <w:sz w:val="24"/>
                <w:szCs w:val="24"/>
                <w:shd w:val="clear" w:color="auto" w:fill="FFFFFF"/>
              </w:rPr>
              <w:t>三助酬金</w:t>
            </w:r>
          </w:p>
        </w:tc>
        <w:tc>
          <w:tcPr>
            <w:tcW w:w="2976"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Times New Roman" w:hint="eastAsia"/>
                <w:color w:val="333333"/>
                <w:sz w:val="24"/>
                <w:szCs w:val="24"/>
                <w:shd w:val="clear" w:color="auto" w:fill="FFFFFF"/>
              </w:rPr>
              <w:t>标准学制内均可申请</w:t>
            </w:r>
          </w:p>
        </w:tc>
        <w:tc>
          <w:tcPr>
            <w:tcW w:w="1701" w:type="dxa"/>
          </w:tcPr>
          <w:p w:rsidR="00BB5683" w:rsidRPr="00BB5683" w:rsidRDefault="00BB5683" w:rsidP="00BB5683">
            <w:pPr>
              <w:widowControl/>
              <w:jc w:val="left"/>
              <w:rPr>
                <w:rFonts w:ascii="仿宋_GB2312" w:eastAsia="仿宋_GB2312" w:hAnsi="宋体" w:cs="宋体"/>
                <w:color w:val="333333"/>
                <w:sz w:val="24"/>
                <w:szCs w:val="24"/>
              </w:rPr>
            </w:pPr>
          </w:p>
        </w:tc>
        <w:tc>
          <w:tcPr>
            <w:tcW w:w="1276" w:type="dxa"/>
          </w:tcPr>
          <w:p w:rsidR="00BB5683" w:rsidRPr="00BB5683" w:rsidRDefault="00BB5683" w:rsidP="00BB5683">
            <w:pPr>
              <w:widowControl/>
              <w:jc w:val="left"/>
              <w:rPr>
                <w:rFonts w:ascii="仿宋_GB2312" w:eastAsia="仿宋_GB2312" w:hAnsi="宋体" w:cs="宋体"/>
                <w:color w:val="333333"/>
                <w:sz w:val="24"/>
                <w:szCs w:val="24"/>
              </w:rPr>
            </w:pPr>
          </w:p>
        </w:tc>
        <w:tc>
          <w:tcPr>
            <w:tcW w:w="1355" w:type="dxa"/>
          </w:tcPr>
          <w:p w:rsidR="00BB5683" w:rsidRPr="00BB5683" w:rsidRDefault="00BB5683" w:rsidP="00BB5683">
            <w:pPr>
              <w:widowControl/>
              <w:jc w:val="left"/>
              <w:rPr>
                <w:rFonts w:ascii="仿宋_GB2312" w:eastAsia="仿宋_GB2312" w:hAnsi="宋体" w:cs="宋体"/>
                <w:color w:val="333333"/>
                <w:sz w:val="24"/>
                <w:szCs w:val="24"/>
              </w:rPr>
            </w:pPr>
            <w:r w:rsidRPr="00BB5683">
              <w:rPr>
                <w:rFonts w:ascii="仿宋_GB2312" w:eastAsia="仿宋_GB2312" w:hAnsi="宋体" w:cs="Times New Roman" w:hint="eastAsia"/>
                <w:color w:val="333333"/>
                <w:sz w:val="24"/>
                <w:szCs w:val="24"/>
              </w:rPr>
              <w:t>18.3</w:t>
            </w:r>
            <w:r w:rsidRPr="00BB5683">
              <w:rPr>
                <w:rFonts w:ascii="仿宋_GB2312" w:eastAsia="仿宋_GB2312" w:hAnsi="宋体" w:cs="Times New Roman" w:hint="eastAsia"/>
                <w:color w:val="333333"/>
                <w:sz w:val="24"/>
                <w:szCs w:val="24"/>
                <w:shd w:val="clear" w:color="auto" w:fill="FFFFFF"/>
              </w:rPr>
              <w:t>元</w:t>
            </w:r>
            <w:r w:rsidRPr="00BB5683">
              <w:rPr>
                <w:rFonts w:ascii="仿宋_GB2312" w:eastAsia="仿宋_GB2312" w:hAnsi="宋体" w:cs="Times New Roman" w:hint="eastAsia"/>
                <w:color w:val="333333"/>
                <w:sz w:val="24"/>
                <w:szCs w:val="24"/>
              </w:rPr>
              <w:t>/</w:t>
            </w:r>
            <w:r w:rsidRPr="00BB5683">
              <w:rPr>
                <w:rFonts w:ascii="仿宋_GB2312" w:eastAsia="仿宋_GB2312" w:hAnsi="宋体" w:cs="Times New Roman" w:hint="eastAsia"/>
                <w:color w:val="333333"/>
                <w:sz w:val="24"/>
                <w:szCs w:val="24"/>
                <w:shd w:val="clear" w:color="auto" w:fill="FFFFFF"/>
              </w:rPr>
              <w:t>月</w:t>
            </w:r>
          </w:p>
        </w:tc>
      </w:tr>
    </w:tbl>
    <w:p w:rsidR="00BB5683" w:rsidRPr="00BB5683" w:rsidRDefault="00BB5683" w:rsidP="00BB5683">
      <w:pPr>
        <w:widowControl/>
        <w:textAlignment w:val="baseline"/>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四、研究生教育改革情况</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（一）人才培养方案情况</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1.培养方案的规范性</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（1）加强基础，提高培养方案的规范性和可行性</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以课程教学为主，重视和加强实践教学。注重理论联系实际，鼓励启发式和研讨式教学。成立导师组，建立“双师制”，吸纳学术含量高、职业背景强、实践经验丰富的导师队伍。</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（2）强化实践和合作培养原则</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加强教学部门与实践部门的联系和交流，聘请专家讲课，建立实习基地。注重与政府部门、企业等单位联合培养，凸显国际化、应用型和精英式的教育理念。</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（3）整体优化</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根据学校人才培养的定位目标，对本专业的社会需求状况和专业的学科支撑情况进行调研和论证，改善教学，明确就业领域与性质以及社会竞争优势。</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2.培养目标保障性</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国际商务与侨校特色融合发展得到学校重视，</w:t>
      </w:r>
      <w:r w:rsidRPr="00BB5683">
        <w:rPr>
          <w:rFonts w:ascii="宋体" w:eastAsia="宋体" w:hAnsi="宋体" w:cs="宋体" w:hint="eastAsia"/>
          <w:sz w:val="28"/>
          <w:szCs w:val="28"/>
        </w:rPr>
        <w:t>学校始终秉持</w:t>
      </w:r>
      <w:r w:rsidRPr="00BB5683">
        <w:rPr>
          <w:rFonts w:ascii="仿宋_GB2312" w:eastAsia="仿宋_GB2312" w:hAnsi="宋体" w:cs="Times New Roman" w:hint="eastAsia"/>
          <w:sz w:val="28"/>
          <w:szCs w:val="28"/>
        </w:rPr>
        <w:t>“两个不忘，一个牢记”的理念。不忘“创校和立校之本”，不忘“办学特色”，牢记</w:t>
      </w:r>
      <w:r w:rsidRPr="00BB5683">
        <w:rPr>
          <w:rFonts w:ascii="仿宋_GB2312" w:eastAsia="仿宋_GB2312" w:hAnsi="宋体" w:cs="Times New Roman" w:hint="eastAsia"/>
          <w:color w:val="000000"/>
          <w:sz w:val="28"/>
          <w:szCs w:val="28"/>
        </w:rPr>
        <w:t>习近平总书记</w:t>
      </w:r>
      <w:r w:rsidRPr="00BB5683">
        <w:rPr>
          <w:rFonts w:ascii="仿宋_GB2312" w:eastAsia="仿宋_GB2312" w:hAnsi="宋体" w:cs="Times New Roman" w:hint="eastAsia"/>
          <w:sz w:val="28"/>
          <w:szCs w:val="28"/>
        </w:rPr>
        <w:t>视察暨南大学重要讲话，即“擦亮金字招牌，办出侨校特色”。国际商务乃立校之本也是特色之源，“始有暨南，便有商科”，南洋华侨的回赠也是国际商务办学的信心来源。</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3.行业需求的适应度</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紧密围绕国际商务的实际问题开展实践和研究是本专业的特色，毕业生从事跨国性业务匹配度达65%以上，从事经贸与金融服务的行业匹配性达95%，企业的用工满意度良好。</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（二）导师队伍建设特色情况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1.多措并举，增强导师教书育人合力</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健全研究生导师队伍管理体制，形成学校主要负责同志牵头把关，研究生院、党委教师工作部主抓，党委宣传部等多部门配合的研究生导师管理体制。</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2.精准发力，加强导师队伍建设</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派三位教师赴海外参加国际商务硕士教育学术交流项目。强化导师履职尽责规范。根据师德表现、科研支撑条件、教育指导工作开展情况、研究生学位论文质量和毕业就业状况等，对导师工作进行全面考核评价，建立导师自评、单位评价和学生评价相结合的导师考核评价机制。</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3.追求卓越，提升导师立德树人能力</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深入推进“双带头人”工程，增强研究生导师“思政育人意识”，培养和提升研究生导师的“思政育人能力”，完善导师“思政育人动力”长效机制。</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（三）课程体系建设情况</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1.国际商务硕士专业学位是针对我国适应经济全球化趋势，全面建设开放型经济体系的需要，培养具有较强的专业能力和职业素养、能够创造性地从事国际商务实际工作的高层次应用型专门人才而设置的一种专业学位类型。我校主要课程包括国际投资与跨国企业管理、国际商务谈判、专业英语、商业伦理、企业战略管理、国际商法、经济学分析与应用等。</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秉承暨南大学务实创新的办学传统，国际商务专业始终坚持立足于市场需求，培养具有国际化视野、基础知识扎实、应用能力强的国际商务人才的基本办学方向。针对专业特点，依托暨南大学的侨校优势，不断强化国际化的办学特色，强调课程体系国际接轨与中国特色的有机结合，注重跨文化沟通技巧训练。来自世界各地不同文化背景的学生群体为在我校国际商务专业学习创造了得天独厚的国际化环境。</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3.依托着地缘优势和侨校优势，本学科紧紧围绕“面向海外，面向港澳”的办学宗旨，以粤港澳大湾区的发展为导向，培养更加符合企业要求的国际商务型人才。同时教师根据对实际企业运营情况的了解，实现理论与实践相结合，促进教学改革的实施和教师教学水平的提升。增加企业方面的实践培训，使我校培养的毕业生能够更加符合社会行业的发展需求。</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（四）教学案例使用和开发情况</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自2011年开始招收全日制国际商务硕士研究生以来，本专业结合全日制学生的特点和培养目标，在案例教学的开发、管理和使用等方面进行了积极的探索。</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1.统一认识，积极投入。使全体教师充分认识案例教学在国际商务专业硕硕培养中的重要意义，积极投身到教学案例的开发建设中。</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认真组织教学案例开发建设。加强校内专任教师与校外实践导师的沟通，以及教师之间的交流、合作，广泛收集整理案源，结合国际商务专业硕士的课程教学内容，精心遴选教学案例，尤其着重关注广东地区的代表性案例，对粤港澳大湾区的案例进行开发建设。关注国际商务前沿，建设国际商务案例库，截止202</w:t>
      </w:r>
      <w:r w:rsidRPr="00BB5683">
        <w:rPr>
          <w:rFonts w:ascii="仿宋_GB2312" w:eastAsia="仿宋_GB2312" w:hAnsi="宋体" w:cs="Times New Roman"/>
          <w:sz w:val="28"/>
          <w:szCs w:val="28"/>
        </w:rPr>
        <w:t>1</w:t>
      </w:r>
      <w:r w:rsidRPr="00BB5683">
        <w:rPr>
          <w:rFonts w:ascii="仿宋_GB2312" w:eastAsia="仿宋_GB2312" w:hAnsi="宋体" w:cs="Times New Roman" w:hint="eastAsia"/>
          <w:sz w:val="28"/>
          <w:szCs w:val="28"/>
        </w:rPr>
        <w:t>年12月，学院案例库中有中文案例11例，英文案例4例。</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3.结合国际知名经典案例，使国际商务的课程以及教学模式，更加贴近国际化水准。</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4.探索教学案例库动态管理模式。结合经济形势和改革的变化发展，对教学案例库实行动态管理，不断修正、补充教学案例，定期开展案例教学效果评估和分析工作。</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5.鼓励教师积极参加国际商务专硕教指委组织的师资培训和教学案例评优活动，加强与其他院校的业务交流，吸收其他院校在教学案例开发和应用中的先进经验，不断提高自身的案例教学水平。</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（五）专业实践情况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1.基本情况、特色与成效</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积极探索集中实习与分散实习相结合的方式，依托学院“经济类高层次应用型人才协同育人平台”，与广东省国际工程咨询有限公司、广东省丝绸纺织集团有限公司、广州市南沙区跨境电商行业协会、广州国翔报关有限公司等1</w:t>
      </w:r>
      <w:r w:rsidRPr="00BB5683">
        <w:rPr>
          <w:rFonts w:ascii="仿宋_GB2312" w:eastAsia="仿宋_GB2312" w:hAnsi="宋体" w:cs="Times New Roman"/>
          <w:sz w:val="28"/>
          <w:szCs w:val="28"/>
        </w:rPr>
        <w:t>1</w:t>
      </w:r>
      <w:r w:rsidRPr="00BB5683">
        <w:rPr>
          <w:rFonts w:ascii="仿宋_GB2312" w:eastAsia="仿宋_GB2312" w:hAnsi="宋体" w:cs="Times New Roman" w:hint="eastAsia"/>
          <w:sz w:val="28"/>
          <w:szCs w:val="28"/>
        </w:rPr>
        <w:t>个稳定的校外实习教学基地合作，共同构建了实践教学体系。将行业前沿和人才要求纳入实践教学体系，经多年探索，逐渐形成了一套独具特色且适用国家需要的专业学位培养模式，报考热度屡创新高，毕业生深受用人单位欢迎，一次性就业率达到100%。</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2.专业实践整体设计</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构建“动态的课程体系”、“立体的实践体系”、“全程式服务体系”，基于人才需求动态调整专业技能训练内容，打造多样化的立体式实践教学活动，坚持从录取到培养到毕业、用人单位反馈的全程式跟踪。建立导师与毕业生联系机制，探索思政与专业结合，组织参与专业竞赛与社会服务项目，组织信息分享会。</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3.联合培养机制</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与专业实践基地联合探索国际商务专业人才的培养机制。通过专业实践基地座谈会，走访用人单位，组织专业实践研讨；邀请实践导师来校讲座，定期组织专任导师与实践导师沟通。</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4.专业实践全过程管理</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强化实践导师的遴选和更新，收集在校生和毕业生反馈，组织遴选实践导师，坚持全程考核管理。</w:t>
      </w:r>
    </w:p>
    <w:p w:rsidR="00BB5683" w:rsidRPr="00BB5683" w:rsidRDefault="00BB5683" w:rsidP="00BB5683">
      <w:pPr>
        <w:widowControl/>
        <w:snapToGrid w:val="0"/>
        <w:textAlignment w:val="baseline"/>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五、教育质量评估与分析</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（一）人才培养的特色与优势</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1.生源质量</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优质生源逐年提高；具有数理研究基础与良好综合能力的学生比例也在提高。</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2.高水平研究工作转化为专业学位研究生培养资源能力</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国家社科重大项目和自科重点项目、侨商企业（教育部或统战部支持项目）、南沙自贸区、“一带一路”与大湾区建设方向等一大批科研项目，批准经费2千余万；科研和实践项目的研究生参与数达到5人/项以上，研究生参与撰写研究报告 60余篇。</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3.校外资源参与办学</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学术实践“双导师”模式，聘请一批实践经验丰富的企业高级管理人员、政府公务人员、国内外著名专家担任兼职实践导师。实践导师不仅多为政府外贸部门资深专家或行业企业专家，还是广东开放与发展历程的见证与参与者。此外，学校配备了10余个实践基地，10余家企事业单位联动的育人平台等校外实践资源。</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4.质量保障与认证</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本学科具有雄厚的经济学及商科师资力量，教师队伍结构合理，拥有博士学位的导师占比为100%，40%以上的教师具有海外知名大学（如哈佛大学等）再深造的经历。</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5.培养成效及影响力</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培养的学生曾获得“全国五一劳动奖章”、“中国青年五四奖章”、“中国大学生年度人物”等称号；近 5年来20余人担任各行各业中的管理和领导角色；为一带一路沿线国家输送十余名高级商务人才。</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（二）服务贡献与社会声誉</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学科充分发挥港澳研究重镇优势及地缘优势，通过智库建设、政策参与政策宣讲，服务粤港澳大湾区国家战略。立足百年侨校优势，港澳台研究特色鲜明，积极挖掘粤港澳台合作条件，主动地服务港澳台与内地经济深度融合发展。本专业也是暨南大学招收“一带一路”沿线国家和地区留学生最多的专业。</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1.建言献策</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发挥港澳研究重镇优势及地缘优势，服务粤港澳大湾区国家发展战略。本专业教师经常参与各级政府的决策咨询活动，为企业提供相关的专业服务，为政府的科学决策和企业的发展做出了积极的贡献。许多教师担任了政府和企业的顾问，或在学术机构担任要职，围绕粤港澳大湾区建设提交决策咨询调研报告。其中 1篇获时任政治局常委和国家副主席同时批示，1篇获国务院总理批示，3篇获得中央办公厅批示获采纳批示，10篇被省委办公厅批示或采纳。依托广东省协同创新中心和3个省级重点研究基地，围绕防范金融风险和金融强省、乡村振兴和脱贫攻坚、现代产业体系与经济高质量发展等重大发展战略问题，向各级政府提供上百份研究与决策咨询报告，得到各级领导的充分肯定。</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2.课题研究</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以研究课题形式服务社会，紧密围绕我国尤其是广东改革开放遇到的重大实际问题开展研究是本专业的科研特色。承担和完成了一系列紧密联系实际的科研课题，为政府部门的决策提供了理论参考，涉及广东自贸区发展、以自贸区为平台促进粤港澳合作、后 CEPA 两岸与粤台经贸关系等方面，在外贸进出口、引进外资、加工贸易、中小企业发展、金融改革和港澳经济转型等重要领域发表的论文和提供的咨询报告，为政府决策提供了有益的参考。</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3.智库建设</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以平台建设为抓手，打造服务粤港澳大湾区“智高点”。紧紧围绕国家所需、湾区所向，发挥暨大优势，建设多个高端智库：广东产业发展与粤港澳大区域合作研究中心、粤港澳大湾区经济发展研究中心、“一带一路”与粤港澳大湾区研究院（国家发改委共建）、中国自由贸易试验区研究院，已经成为服务粤港澳大湾区建设的重要智库群。</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（三）在学成果</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暨南大学自 2011年获得国际商务专业硕士学位授权点以来，共为社会输送了200余名国际商务高级专门人才。研究生在学期间主要以参与导师项目课题、参加各级学术或案例分析大赛、参与创新创业活动、参加实践基地或校外导师指导的社会实习等方式获得了丰富的应用性成果。</w:t>
      </w:r>
    </w:p>
    <w:p w:rsidR="00BB5683" w:rsidRPr="00BB5683" w:rsidRDefault="00BB5683" w:rsidP="00BB5683">
      <w:pPr>
        <w:ind w:firstLineChars="200" w:firstLine="560"/>
        <w:outlineLvl w:val="2"/>
        <w:rPr>
          <w:rFonts w:ascii="仿宋_GB2312" w:eastAsia="仿宋_GB2312" w:hAnsi="宋体" w:cs="Times New Roman"/>
          <w:sz w:val="28"/>
          <w:szCs w:val="28"/>
        </w:rPr>
      </w:pPr>
      <w:r w:rsidRPr="00BB5683">
        <w:rPr>
          <w:rFonts w:ascii="仿宋_GB2312" w:eastAsia="仿宋_GB2312" w:hAnsi="宋体" w:cs="Times New Roman" w:hint="eastAsia"/>
          <w:sz w:val="28"/>
          <w:szCs w:val="28"/>
        </w:rPr>
        <w:t>201</w:t>
      </w:r>
      <w:r w:rsidRPr="00BB5683">
        <w:rPr>
          <w:rFonts w:ascii="仿宋_GB2312" w:eastAsia="仿宋_GB2312" w:hAnsi="宋体" w:cs="Times New Roman"/>
          <w:sz w:val="28"/>
          <w:szCs w:val="28"/>
        </w:rPr>
        <w:t>7</w:t>
      </w:r>
      <w:r w:rsidRPr="00BB5683">
        <w:rPr>
          <w:rFonts w:ascii="仿宋_GB2312" w:eastAsia="仿宋_GB2312" w:hAnsi="宋体" w:cs="Times New Roman" w:hint="eastAsia"/>
          <w:sz w:val="28"/>
          <w:szCs w:val="28"/>
        </w:rPr>
        <w:t>-202</w:t>
      </w:r>
      <w:r w:rsidRPr="00BB5683">
        <w:rPr>
          <w:rFonts w:ascii="仿宋_GB2312" w:eastAsia="仿宋_GB2312" w:hAnsi="宋体" w:cs="Times New Roman"/>
          <w:sz w:val="28"/>
          <w:szCs w:val="28"/>
        </w:rPr>
        <w:t>1</w:t>
      </w:r>
      <w:r w:rsidRPr="00BB5683">
        <w:rPr>
          <w:rFonts w:ascii="仿宋_GB2312" w:eastAsia="仿宋_GB2312" w:hAnsi="宋体" w:cs="Times New Roman" w:hint="eastAsia"/>
          <w:sz w:val="28"/>
          <w:szCs w:val="28"/>
        </w:rPr>
        <w:t>年间，在校专硕学生参加各类纵向和横向课题约30项，合计</w:t>
      </w:r>
      <w:r w:rsidRPr="00BB5683">
        <w:rPr>
          <w:rFonts w:ascii="仿宋_GB2312" w:eastAsia="仿宋_GB2312" w:hAnsi="宋体" w:cs="Times New Roman"/>
          <w:sz w:val="28"/>
          <w:szCs w:val="28"/>
        </w:rPr>
        <w:t>50</w:t>
      </w:r>
      <w:r w:rsidRPr="00BB5683">
        <w:rPr>
          <w:rFonts w:ascii="仿宋_GB2312" w:eastAsia="仿宋_GB2312" w:hAnsi="宋体" w:cs="Times New Roman" w:hint="eastAsia"/>
          <w:sz w:val="28"/>
          <w:szCs w:val="28"/>
        </w:rPr>
        <w:t>余人次，相关课题经费超过300万元；</w:t>
      </w:r>
      <w:r w:rsidRPr="00BB5683">
        <w:rPr>
          <w:rFonts w:ascii="仿宋_GB2312" w:eastAsia="仿宋_GB2312" w:hAnsi="宋体" w:cs="Times New Roman"/>
          <w:sz w:val="28"/>
          <w:szCs w:val="28"/>
        </w:rPr>
        <w:t>40</w:t>
      </w:r>
      <w:r w:rsidRPr="00BB5683">
        <w:rPr>
          <w:rFonts w:ascii="仿宋_GB2312" w:eastAsia="仿宋_GB2312" w:hAnsi="宋体" w:cs="Times New Roman" w:hint="eastAsia"/>
          <w:sz w:val="28"/>
          <w:szCs w:val="28"/>
        </w:rPr>
        <w:t>余人次参加案例分析、调研报告、产品设计、创新创业以及国际交流合作等活动，并取得了优异的成果，包括两项创业大赛金奖、一项创业大赛铜奖、中国青年五四奖章、全国五一劳动奖章、广东青年五四奖章、广东五一劳动奖章及中国大学生年度人物等奖励；20余位学生参与中国（广东）自由贸易试验区的课题研究，围绕国际贸易功能集成以及跨境电商等方面的取得的研究成果，成为自贸区产业规划的重要依据，有力促进了新业态发展。</w:t>
      </w:r>
    </w:p>
    <w:p w:rsidR="00BB5683" w:rsidRPr="00BB5683" w:rsidRDefault="00BB5683" w:rsidP="00BB5683">
      <w:pPr>
        <w:outlineLvl w:val="2"/>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（四）学位论文抽检情况</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本专业从开设毕业论文写作的相关课程，督促学生按照时间节点完成论文计划，要求导师认真指导学位论文等方面入手严格把关本专业学位论文的质量。本年度</w:t>
      </w:r>
      <w:r w:rsidRPr="00BB5683">
        <w:rPr>
          <w:rFonts w:ascii="仿宋_GB2312" w:eastAsia="仿宋_GB2312" w:hAnsi="宋体" w:cs="Times New Roman"/>
          <w:color w:val="000000"/>
          <w:sz w:val="28"/>
          <w:szCs w:val="28"/>
        </w:rPr>
        <w:t>43</w:t>
      </w:r>
      <w:r w:rsidRPr="00BB5683">
        <w:rPr>
          <w:rFonts w:ascii="仿宋_GB2312" w:eastAsia="仿宋_GB2312" w:hAnsi="宋体" w:cs="Times New Roman" w:hint="eastAsia"/>
          <w:sz w:val="28"/>
          <w:szCs w:val="28"/>
        </w:rPr>
        <w:t>位研究生撰写的学位论文全部获答辩委员会通过，并经分委会、校委会审核通过，授予国际商务专业硕士学位。</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在本专业导师的严谨指导和学生不懈努力的共同作用下，本专业学位学生学位论文的整体水平较高，评估期内本专业学位论文均顺利通过评审和答辩，答辩平均成绩超过4分（总分5分）的论文共有</w:t>
      </w:r>
      <w:r w:rsidRPr="00BB5683">
        <w:rPr>
          <w:rFonts w:ascii="仿宋_GB2312" w:eastAsia="仿宋_GB2312" w:hAnsi="宋体" w:cs="Times New Roman"/>
          <w:sz w:val="28"/>
          <w:szCs w:val="28"/>
        </w:rPr>
        <w:t>5</w:t>
      </w:r>
      <w:r w:rsidRPr="00BB5683">
        <w:rPr>
          <w:rFonts w:ascii="仿宋_GB2312" w:eastAsia="仿宋_GB2312" w:hAnsi="宋体" w:cs="Times New Roman" w:hint="eastAsia"/>
          <w:sz w:val="28"/>
          <w:szCs w:val="28"/>
        </w:rPr>
        <w:t>篇。</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毕业生的论文选题来源于国际商务实践领域,论文形式主要为案例分析、调研报告和商务实践问题解决。论文选题紧密结合国际商务的学科背景和社会需求，涉及国际商务管理、国际并购风险、商业模式分析、跨境电商等多个领域，整体上紧跟时代步伐，呼应国际商务理论与实践的突出问题，体现了国际商务硕士论文应有的专业深度，具有较强的解决实际问题的成效和应用价值。</w:t>
      </w:r>
    </w:p>
    <w:p w:rsidR="00BB5683" w:rsidRPr="00BB5683" w:rsidRDefault="00BB5683" w:rsidP="00BB5683">
      <w:pPr>
        <w:widowControl/>
        <w:snapToGrid w:val="0"/>
        <w:textAlignment w:val="baseline"/>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六、改进措施</w:t>
      </w:r>
    </w:p>
    <w:p w:rsidR="00BB5683" w:rsidRPr="00BB5683" w:rsidRDefault="00BB5683" w:rsidP="00BB5683">
      <w:pPr>
        <w:widowControl/>
        <w:ind w:firstLineChars="200" w:firstLine="560"/>
        <w:textAlignment w:val="baseline"/>
        <w:rPr>
          <w:rFonts w:ascii="仿宋_GB2312" w:eastAsia="仿宋_GB2312" w:hAnsi="宋体" w:cs="Times New Roman"/>
          <w:sz w:val="28"/>
          <w:szCs w:val="28"/>
        </w:rPr>
      </w:pPr>
      <w:r w:rsidRPr="00BB5683">
        <w:rPr>
          <w:rFonts w:ascii="仿宋_GB2312" w:eastAsia="仿宋_GB2312" w:hAnsi="宋体" w:cs="Times New Roman" w:hint="eastAsia"/>
          <w:sz w:val="28"/>
          <w:szCs w:val="28"/>
        </w:rPr>
        <w:t>针对问题提出改进建议和下一步思路举措。</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（一）存在的问题</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1.招生数量不足</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受学校招生指标分配制度的限制，本专业国际商务专业硕士一直处于较低培养规模，每届人数较少，这已成为制约本学科发展的最大瓶颈。</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2.案例开发成效有限</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虽然已经开发了众多项目的自编案例，但是参加全国性比赛及优秀案例评选的数量不多，案例质量亟待提高。</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3.对外交流有待进一步加强</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暨南大学作为华侨学府，应肩负起沟通海内外学术文化的重大使命。虽然有教师国内外访学和学生国际交流，但是整体数量不足、渠道有限，尤其是本学位点与国内高校之间的交流沟通有待加强。</w:t>
      </w:r>
    </w:p>
    <w:p w:rsidR="00BB5683" w:rsidRPr="00BB5683" w:rsidRDefault="00BB5683" w:rsidP="00BB5683">
      <w:pPr>
        <w:rPr>
          <w:rFonts w:ascii="仿宋_GB2312" w:eastAsia="仿宋_GB2312" w:hAnsi="宋体" w:cs="Times New Roman"/>
          <w:b/>
          <w:sz w:val="28"/>
          <w:szCs w:val="28"/>
        </w:rPr>
      </w:pPr>
      <w:r w:rsidRPr="00BB5683">
        <w:rPr>
          <w:rFonts w:ascii="仿宋_GB2312" w:eastAsia="仿宋_GB2312" w:hAnsi="宋体" w:cs="Times New Roman" w:hint="eastAsia"/>
          <w:b/>
          <w:sz w:val="28"/>
          <w:szCs w:val="28"/>
        </w:rPr>
        <w:t>（二）改进思路与举措</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1.扩大招生规模</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首先，尽可能多的争取国际商务硕士招生指标；其次，积极招收海外华侨学生以及“一带一路”沿线国家留学生；第三，加强与广东省内大中型企业合作开展订单式培养模式；第四，积极联系商务部国际贸易经济合作研究院等单位开展联合培养。</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2.加大案例开发支持力度</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对选入优秀案例库或参加比赛获奖的案例进行相应的奖励；对自行开发的案例实施补贴；组织老师与相关企事业单位进行对接，寻找具有创新性的国际商务案例，与实践导师共同开发案例；积极参与各组织单位举办的优秀案例评选活动，通过竞赛提升案例开发质量，建设优秀案例。</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3.加强合作培养和交流</w:t>
      </w:r>
    </w:p>
    <w:p w:rsidR="00BB5683" w:rsidRPr="00BB5683" w:rsidRDefault="00BB5683" w:rsidP="00BB5683">
      <w:pPr>
        <w:ind w:firstLineChars="200" w:firstLine="560"/>
        <w:rPr>
          <w:rFonts w:ascii="仿宋_GB2312" w:eastAsia="仿宋_GB2312" w:hAnsi="宋体" w:cs="Times New Roman"/>
          <w:sz w:val="28"/>
          <w:szCs w:val="28"/>
        </w:rPr>
      </w:pPr>
      <w:r w:rsidRPr="00BB5683">
        <w:rPr>
          <w:rFonts w:ascii="仿宋_GB2312" w:eastAsia="仿宋_GB2312" w:hAnsi="宋体" w:cs="Times New Roman" w:hint="eastAsia"/>
          <w:sz w:val="28"/>
          <w:szCs w:val="28"/>
        </w:rPr>
        <w:t>利用好学校区位优势和品牌优势，积极融入“一带一路”倡议，鼓励教师访学，加强和实务界导师的合作；在学生交流层面，加强与其他东部沿海省份企业的合作，为学生创造更好的实习环境；组织学生参加全国商务专业学位创新创业精英挑战赛，参加国外知名高校暑期海外实践项目等。</w:t>
      </w:r>
    </w:p>
    <w:p w:rsidR="002A0C0D" w:rsidRPr="00BB5683" w:rsidRDefault="002A0C0D"/>
    <w:sectPr w:rsidR="002A0C0D" w:rsidRPr="00BB56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BF" w:rsidRDefault="000C70BF">
      <w:r>
        <w:separator/>
      </w:r>
    </w:p>
  </w:endnote>
  <w:endnote w:type="continuationSeparator" w:id="0">
    <w:p w:rsidR="000C70BF" w:rsidRDefault="000C7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方正舒体"/>
    <w:charset w:val="86"/>
    <w:family w:val="auto"/>
    <w:pitch w:val="default"/>
    <w:sig w:usb0="00000001" w:usb1="0800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93" w:rsidRDefault="002A005D">
    <w:pPr>
      <w:pStyle w:val="a3"/>
      <w:widowControl/>
      <w:textAlignment w:val="baseline"/>
      <w:rPr>
        <w:rStyle w:val="NormalCharacter"/>
        <w:rFonts w:ascii="Times New Roman" w:eastAsia="宋体"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BF" w:rsidRDefault="000C70BF">
      <w:r>
        <w:separator/>
      </w:r>
    </w:p>
  </w:footnote>
  <w:footnote w:type="continuationSeparator" w:id="0">
    <w:p w:rsidR="000C70BF" w:rsidRDefault="000C7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6E3"/>
    <w:rsid w:val="000C70BF"/>
    <w:rsid w:val="002A005D"/>
    <w:rsid w:val="002A0C0D"/>
    <w:rsid w:val="006F6247"/>
    <w:rsid w:val="00BB5683"/>
    <w:rsid w:val="00EF36E3"/>
    <w:rsid w:val="00FB5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B5683"/>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BB5683"/>
    <w:rPr>
      <w:sz w:val="18"/>
      <w:szCs w:val="18"/>
    </w:rPr>
  </w:style>
  <w:style w:type="table" w:styleId="a4">
    <w:name w:val="Table Grid"/>
    <w:basedOn w:val="a1"/>
    <w:uiPriority w:val="39"/>
    <w:qFormat/>
    <w:rsid w:val="00BB5683"/>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rsid w:val="00BB5683"/>
    <w:rPr>
      <w:rFonts w:ascii="Calibri" w:eastAsia="方正仿宋简体" w:hAnsi="Calibri" w:cs="Times New Roman"/>
      <w:kern w:val="2"/>
      <w:sz w:val="32"/>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B5683"/>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BB5683"/>
    <w:rPr>
      <w:sz w:val="18"/>
      <w:szCs w:val="18"/>
    </w:rPr>
  </w:style>
  <w:style w:type="table" w:styleId="a4">
    <w:name w:val="Table Grid"/>
    <w:basedOn w:val="a1"/>
    <w:uiPriority w:val="39"/>
    <w:qFormat/>
    <w:rsid w:val="00BB5683"/>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rsid w:val="00BB5683"/>
    <w:rPr>
      <w:rFonts w:ascii="Calibri" w:eastAsia="方正仿宋简体" w:hAnsi="Calibri" w:cs="Times New Roman"/>
      <w:kern w:val="2"/>
      <w:sz w:val="32"/>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1681</Words>
  <Characters>9588</Characters>
  <Application>Microsoft Office Word</Application>
  <DocSecurity>0</DocSecurity>
  <Lines>79</Lines>
  <Paragraphs>22</Paragraphs>
  <ScaleCrop>false</ScaleCrop>
  <Company/>
  <LinksUpToDate>false</LinksUpToDate>
  <CharactersWithSpaces>11247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2</cp:revision>
  <dcterms:created xsi:type="dcterms:W3CDTF">2025-03-12T08:32:00Z</dcterms:created>
  <dcterms:modified xsi:type="dcterms:W3CDTF">2025-03-12T08:32:00Z</dcterms:modified>
</cp:coreProperties>
</file>