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CF8" w:rsidRPr="00190CF8" w:rsidRDefault="00190CF8" w:rsidP="00190CF8">
      <w:pPr>
        <w:spacing w:line="300" w:lineRule="auto"/>
        <w:rPr>
          <w:rFonts w:ascii="Times New Roman" w:eastAsia="方正仿宋简体" w:hAnsi="Times New Roman" w:cs="Times New Roman"/>
          <w:b/>
          <w:sz w:val="28"/>
          <w:szCs w:val="28"/>
        </w:rPr>
      </w:pPr>
      <w:bookmarkStart w:id="0" w:name="_GoBack"/>
      <w:bookmarkEnd w:id="0"/>
      <w:r w:rsidRPr="00190CF8">
        <w:rPr>
          <w:rFonts w:ascii="Times New Roman" w:eastAsia="方正仿宋简体" w:hAnsi="Times New Roman" w:cs="Times New Roman" w:hint="eastAsia"/>
          <w:b/>
          <w:sz w:val="28"/>
          <w:szCs w:val="28"/>
        </w:rPr>
        <w:t>附件</w:t>
      </w:r>
      <w:r w:rsidRPr="00190CF8">
        <w:rPr>
          <w:rFonts w:ascii="Times New Roman" w:eastAsia="方正仿宋简体" w:hAnsi="Times New Roman" w:cs="Times New Roman"/>
          <w:b/>
          <w:sz w:val="28"/>
          <w:szCs w:val="28"/>
        </w:rPr>
        <w:t>3</w:t>
      </w:r>
    </w:p>
    <w:p w:rsidR="00190CF8" w:rsidRPr="00190CF8" w:rsidRDefault="00190CF8" w:rsidP="00190CF8">
      <w:pPr>
        <w:spacing w:after="156" w:line="300" w:lineRule="auto"/>
        <w:jc w:val="center"/>
        <w:textAlignment w:val="baseline"/>
        <w:rPr>
          <w:rFonts w:ascii="方正小标宋简体" w:eastAsia="方正小标宋简体" w:hAnsi="宋体" w:cs="Times New Roman"/>
          <w:sz w:val="44"/>
          <w:szCs w:val="44"/>
        </w:rPr>
      </w:pPr>
    </w:p>
    <w:p w:rsidR="00190CF8" w:rsidRPr="00190CF8" w:rsidRDefault="00190CF8" w:rsidP="00190CF8">
      <w:pPr>
        <w:spacing w:after="156" w:line="300" w:lineRule="auto"/>
        <w:jc w:val="center"/>
        <w:textAlignment w:val="baseline"/>
        <w:rPr>
          <w:rFonts w:ascii="方正小标宋简体" w:eastAsia="方正小标宋简体" w:hAnsi="宋体" w:cs="Times New Roman"/>
          <w:bCs/>
          <w:sz w:val="44"/>
          <w:szCs w:val="44"/>
        </w:rPr>
      </w:pPr>
    </w:p>
    <w:p w:rsidR="00190CF8" w:rsidRPr="00190CF8" w:rsidRDefault="00190CF8" w:rsidP="00190CF8">
      <w:pPr>
        <w:spacing w:after="156" w:line="300" w:lineRule="auto"/>
        <w:jc w:val="center"/>
        <w:textAlignment w:val="baseline"/>
        <w:rPr>
          <w:rFonts w:ascii="方正小标宋简体" w:eastAsia="方正小标宋简体" w:hAnsi="宋体" w:cs="Times New Roman"/>
          <w:bCs/>
          <w:sz w:val="44"/>
          <w:szCs w:val="44"/>
        </w:rPr>
      </w:pPr>
    </w:p>
    <w:p w:rsidR="00190CF8" w:rsidRPr="00190CF8" w:rsidRDefault="002B796C" w:rsidP="00190CF8">
      <w:pPr>
        <w:spacing w:after="156" w:line="300" w:lineRule="auto"/>
        <w:jc w:val="center"/>
        <w:textAlignment w:val="baseline"/>
        <w:rPr>
          <w:rFonts w:ascii="方正小标宋简体" w:eastAsia="方正小标宋简体" w:hAnsi="宋体" w:cs="Times New Roman"/>
          <w:bCs/>
          <w:sz w:val="44"/>
          <w:szCs w:val="44"/>
        </w:rPr>
      </w:pPr>
      <w:r w:rsidRPr="002B796C">
        <w:rPr>
          <w:rFonts w:ascii="方正小标宋简体" w:eastAsia="方正小标宋简体" w:hAnsi="宋体" w:cs="Times New Roman" w:hint="eastAsia"/>
          <w:bCs/>
          <w:sz w:val="44"/>
          <w:szCs w:val="44"/>
        </w:rPr>
        <w:t>学位授权点质量建设年度报告</w:t>
      </w:r>
    </w:p>
    <w:p w:rsidR="00190CF8" w:rsidRPr="00190CF8" w:rsidRDefault="00190CF8" w:rsidP="00190CF8">
      <w:pPr>
        <w:spacing w:after="156" w:line="300" w:lineRule="auto"/>
        <w:jc w:val="center"/>
        <w:textAlignment w:val="baseline"/>
        <w:rPr>
          <w:rFonts w:ascii="方正小标宋简体" w:eastAsia="方正小标宋简体" w:hAnsi="宋体" w:cs="Times New Roman"/>
          <w:bCs/>
          <w:sz w:val="44"/>
          <w:szCs w:val="44"/>
        </w:rPr>
      </w:pPr>
      <w:r w:rsidRPr="00190CF8">
        <w:rPr>
          <w:rFonts w:ascii="方正小标宋简体" w:eastAsia="方正小标宋简体" w:hAnsi="宋体" w:cs="Times New Roman" w:hint="eastAsia"/>
          <w:bCs/>
          <w:sz w:val="44"/>
          <w:szCs w:val="44"/>
        </w:rPr>
        <w:t>（2021年）</w:t>
      </w:r>
    </w:p>
    <w:p w:rsidR="00190CF8" w:rsidRPr="00190CF8" w:rsidRDefault="00190CF8" w:rsidP="00190CF8">
      <w:pPr>
        <w:spacing w:after="156" w:line="300" w:lineRule="auto"/>
        <w:jc w:val="center"/>
        <w:textAlignment w:val="baseline"/>
        <w:rPr>
          <w:rFonts w:ascii="方正小标宋简体" w:eastAsia="方正小标宋简体" w:hAnsi="宋体" w:cs="Times New Roman"/>
          <w:bCs/>
          <w:sz w:val="44"/>
          <w:szCs w:val="44"/>
        </w:rPr>
      </w:pPr>
    </w:p>
    <w:p w:rsidR="00190CF8" w:rsidRPr="00190CF8" w:rsidRDefault="00190CF8" w:rsidP="00190CF8">
      <w:pPr>
        <w:snapToGrid w:val="0"/>
        <w:spacing w:line="300" w:lineRule="auto"/>
        <w:jc w:val="center"/>
        <w:textAlignment w:val="baseline"/>
        <w:rPr>
          <w:rFonts w:ascii="Times New Roman" w:eastAsia="宋体" w:hAnsi="Times New Roman" w:cs="Times New Roman"/>
          <w:b/>
          <w:sz w:val="48"/>
          <w:szCs w:val="20"/>
        </w:rPr>
      </w:pPr>
    </w:p>
    <w:p w:rsidR="00190CF8" w:rsidRPr="00190CF8" w:rsidRDefault="00190CF8" w:rsidP="00190CF8">
      <w:pPr>
        <w:snapToGrid w:val="0"/>
        <w:spacing w:line="300" w:lineRule="auto"/>
        <w:jc w:val="center"/>
        <w:textAlignment w:val="baseline"/>
        <w:rPr>
          <w:rFonts w:ascii="Times New Roman" w:eastAsia="宋体" w:hAnsi="Times New Roman" w:cs="Times New Roman"/>
          <w:b/>
          <w:sz w:val="48"/>
          <w:szCs w:val="20"/>
        </w:rPr>
      </w:pPr>
    </w:p>
    <w:p w:rsidR="00190CF8" w:rsidRPr="00190CF8" w:rsidRDefault="00190CF8" w:rsidP="00190CF8">
      <w:pPr>
        <w:snapToGrid w:val="0"/>
        <w:spacing w:line="300" w:lineRule="auto"/>
        <w:jc w:val="center"/>
        <w:textAlignment w:val="baseline"/>
        <w:rPr>
          <w:rFonts w:ascii="Times New Roman" w:eastAsia="宋体" w:hAnsi="Times New Roman" w:cs="Times New Roman"/>
          <w:b/>
          <w:sz w:val="32"/>
          <w:szCs w:val="32"/>
        </w:rPr>
      </w:pPr>
    </w:p>
    <w:tbl>
      <w:tblPr>
        <w:tblW w:w="5490"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9"/>
        <w:gridCol w:w="3981"/>
      </w:tblGrid>
      <w:tr w:rsidR="00190CF8" w:rsidRPr="00190CF8" w:rsidTr="00455DEA">
        <w:trPr>
          <w:trHeight w:val="794"/>
          <w:jc w:val="center"/>
        </w:trPr>
        <w:tc>
          <w:tcPr>
            <w:tcW w:w="1507" w:type="dxa"/>
            <w:vMerge w:val="restart"/>
            <w:tcBorders>
              <w:top w:val="nil"/>
              <w:left w:val="nil"/>
              <w:bottom w:val="nil"/>
              <w:right w:val="single" w:sz="4" w:space="0" w:color="000000"/>
            </w:tcBorders>
            <w:vAlign w:val="center"/>
            <w:hideMark/>
          </w:tcPr>
          <w:p w:rsidR="00190CF8" w:rsidRPr="00190CF8" w:rsidRDefault="00190CF8" w:rsidP="00190CF8">
            <w:pPr>
              <w:snapToGrid w:val="0"/>
              <w:spacing w:line="300" w:lineRule="auto"/>
              <w:jc w:val="center"/>
              <w:textAlignment w:val="baseline"/>
              <w:rPr>
                <w:rFonts w:ascii="Times New Roman" w:eastAsia="宋体" w:hAnsi="Times New Roman" w:cs="Times New Roman"/>
                <w:b/>
                <w:spacing w:val="-10"/>
                <w:sz w:val="32"/>
                <w:szCs w:val="32"/>
              </w:rPr>
            </w:pPr>
            <w:r w:rsidRPr="00190CF8">
              <w:rPr>
                <w:rFonts w:ascii="Times New Roman" w:eastAsia="宋体" w:hAnsi="Times New Roman" w:cs="Times New Roman" w:hint="eastAsia"/>
                <w:b/>
                <w:spacing w:val="-10"/>
                <w:sz w:val="32"/>
                <w:szCs w:val="32"/>
              </w:rPr>
              <w:t>高校</w:t>
            </w:r>
          </w:p>
          <w:p w:rsidR="00190CF8" w:rsidRPr="00190CF8" w:rsidRDefault="00190CF8" w:rsidP="00190CF8">
            <w:pPr>
              <w:snapToGrid w:val="0"/>
              <w:spacing w:line="300" w:lineRule="auto"/>
              <w:jc w:val="center"/>
              <w:textAlignment w:val="baseline"/>
              <w:rPr>
                <w:rFonts w:ascii="Times New Roman" w:eastAsia="宋体" w:hAnsi="Times New Roman" w:cs="Times New Roman"/>
                <w:b/>
                <w:spacing w:val="-10"/>
                <w:sz w:val="32"/>
                <w:szCs w:val="32"/>
              </w:rPr>
            </w:pPr>
            <w:r w:rsidRPr="00190CF8">
              <w:rPr>
                <w:rFonts w:ascii="Times New Roman" w:eastAsia="宋体" w:hAnsi="Times New Roman" w:cs="Times New Roman" w:hint="eastAsia"/>
                <w:b/>
                <w:spacing w:val="-10"/>
                <w:sz w:val="32"/>
                <w:szCs w:val="32"/>
              </w:rPr>
              <w:t>（公章）</w:t>
            </w:r>
          </w:p>
        </w:tc>
        <w:tc>
          <w:tcPr>
            <w:tcW w:w="3977" w:type="dxa"/>
            <w:tcBorders>
              <w:top w:val="nil"/>
              <w:left w:val="single" w:sz="4" w:space="0" w:color="000000"/>
              <w:bottom w:val="single" w:sz="4" w:space="0" w:color="000000"/>
              <w:right w:val="nil"/>
            </w:tcBorders>
            <w:vAlign w:val="center"/>
            <w:hideMark/>
          </w:tcPr>
          <w:p w:rsidR="00190CF8" w:rsidRPr="00190CF8" w:rsidRDefault="00190CF8" w:rsidP="00190CF8">
            <w:pPr>
              <w:snapToGrid w:val="0"/>
              <w:spacing w:line="300" w:lineRule="auto"/>
              <w:textAlignment w:val="baseline"/>
              <w:rPr>
                <w:rFonts w:ascii="Times New Roman" w:eastAsia="宋体" w:hAnsi="Times New Roman" w:cs="Times New Roman"/>
                <w:b/>
                <w:spacing w:val="-10"/>
                <w:sz w:val="32"/>
                <w:szCs w:val="32"/>
              </w:rPr>
            </w:pPr>
            <w:r w:rsidRPr="00190CF8">
              <w:rPr>
                <w:rFonts w:ascii="Times New Roman" w:eastAsia="宋体" w:hAnsi="Times New Roman" w:cs="Times New Roman" w:hint="eastAsia"/>
                <w:b/>
                <w:spacing w:val="-10"/>
                <w:sz w:val="32"/>
                <w:szCs w:val="32"/>
              </w:rPr>
              <w:t>名称：金融</w:t>
            </w:r>
          </w:p>
        </w:tc>
      </w:tr>
      <w:tr w:rsidR="00190CF8" w:rsidRPr="00190CF8" w:rsidTr="00455DEA">
        <w:trPr>
          <w:trHeight w:val="794"/>
          <w:jc w:val="center"/>
        </w:trPr>
        <w:tc>
          <w:tcPr>
            <w:tcW w:w="1507" w:type="dxa"/>
            <w:vMerge/>
            <w:tcBorders>
              <w:top w:val="nil"/>
              <w:left w:val="nil"/>
              <w:bottom w:val="nil"/>
              <w:right w:val="single" w:sz="4" w:space="0" w:color="000000"/>
            </w:tcBorders>
            <w:vAlign w:val="center"/>
            <w:hideMark/>
          </w:tcPr>
          <w:p w:rsidR="00190CF8" w:rsidRPr="00190CF8" w:rsidRDefault="00190CF8" w:rsidP="00190CF8">
            <w:pPr>
              <w:widowControl/>
              <w:jc w:val="left"/>
              <w:rPr>
                <w:rFonts w:ascii="Times New Roman" w:eastAsia="宋体" w:hAnsi="Times New Roman" w:cs="Times New Roman"/>
                <w:b/>
                <w:spacing w:val="-10"/>
                <w:sz w:val="32"/>
                <w:szCs w:val="32"/>
              </w:rPr>
            </w:pPr>
          </w:p>
        </w:tc>
        <w:tc>
          <w:tcPr>
            <w:tcW w:w="3977" w:type="dxa"/>
            <w:tcBorders>
              <w:top w:val="single" w:sz="4" w:space="0" w:color="000000"/>
              <w:left w:val="single" w:sz="4" w:space="0" w:color="000000"/>
              <w:bottom w:val="nil"/>
              <w:right w:val="nil"/>
            </w:tcBorders>
            <w:vAlign w:val="center"/>
            <w:hideMark/>
          </w:tcPr>
          <w:p w:rsidR="00190CF8" w:rsidRPr="00190CF8" w:rsidRDefault="00190CF8" w:rsidP="00190CF8">
            <w:pPr>
              <w:snapToGrid w:val="0"/>
              <w:spacing w:line="300" w:lineRule="auto"/>
              <w:textAlignment w:val="baseline"/>
              <w:rPr>
                <w:rFonts w:ascii="Times New Roman" w:eastAsia="宋体" w:hAnsi="Times New Roman" w:cs="Times New Roman"/>
                <w:b/>
                <w:spacing w:val="-10"/>
                <w:sz w:val="32"/>
                <w:szCs w:val="32"/>
              </w:rPr>
            </w:pPr>
            <w:r w:rsidRPr="00190CF8">
              <w:rPr>
                <w:rFonts w:ascii="Times New Roman" w:eastAsia="宋体" w:hAnsi="Times New Roman" w:cs="Times New Roman" w:hint="eastAsia"/>
                <w:b/>
                <w:spacing w:val="-10"/>
                <w:sz w:val="32"/>
                <w:szCs w:val="32"/>
              </w:rPr>
              <w:t>代码：</w:t>
            </w:r>
            <w:r w:rsidRPr="00190CF8">
              <w:rPr>
                <w:rFonts w:ascii="Times New Roman" w:eastAsia="宋体" w:hAnsi="Times New Roman" w:cs="Times New Roman"/>
                <w:b/>
                <w:spacing w:val="-10"/>
                <w:sz w:val="32"/>
                <w:szCs w:val="32"/>
              </w:rPr>
              <w:t>0251</w:t>
            </w:r>
          </w:p>
        </w:tc>
      </w:tr>
    </w:tbl>
    <w:p w:rsidR="00190CF8" w:rsidRPr="00190CF8" w:rsidRDefault="00190CF8" w:rsidP="00190CF8">
      <w:pPr>
        <w:snapToGrid w:val="0"/>
        <w:spacing w:line="300" w:lineRule="auto"/>
        <w:jc w:val="center"/>
        <w:textAlignment w:val="baseline"/>
        <w:rPr>
          <w:rFonts w:ascii="Times New Roman" w:eastAsia="宋体" w:hAnsi="Times New Roman" w:cs="Times New Roman"/>
          <w:b/>
          <w:sz w:val="48"/>
          <w:szCs w:val="20"/>
        </w:rPr>
      </w:pPr>
    </w:p>
    <w:p w:rsidR="00190CF8" w:rsidRPr="00190CF8" w:rsidRDefault="00190CF8" w:rsidP="00190CF8">
      <w:pPr>
        <w:spacing w:line="300" w:lineRule="auto"/>
        <w:jc w:val="center"/>
        <w:textAlignment w:val="baseline"/>
        <w:rPr>
          <w:rFonts w:ascii="Times New Roman" w:eastAsia="楷体_GB2312" w:hAnsi="Times New Roman" w:cs="Times New Roman"/>
          <w:b/>
          <w:sz w:val="30"/>
          <w:szCs w:val="30"/>
        </w:rPr>
      </w:pPr>
    </w:p>
    <w:p w:rsidR="00190CF8" w:rsidRPr="00190CF8" w:rsidRDefault="00190CF8" w:rsidP="00190CF8">
      <w:pPr>
        <w:widowControl/>
        <w:spacing w:line="300" w:lineRule="auto"/>
        <w:ind w:firstLineChars="200" w:firstLine="640"/>
        <w:rPr>
          <w:rFonts w:ascii="Calibri" w:eastAsia="方正仿宋简体" w:hAnsi="Calibri" w:cs="Times New Roman"/>
          <w:sz w:val="32"/>
          <w:szCs w:val="24"/>
        </w:rPr>
      </w:pPr>
    </w:p>
    <w:p w:rsidR="00190CF8" w:rsidRPr="00190CF8" w:rsidRDefault="00190CF8" w:rsidP="00190CF8">
      <w:pPr>
        <w:spacing w:line="300" w:lineRule="auto"/>
        <w:jc w:val="center"/>
        <w:textAlignment w:val="baseline"/>
        <w:rPr>
          <w:rFonts w:ascii="Times New Roman" w:eastAsia="楷体_GB2312" w:hAnsi="Times New Roman" w:cs="Times New Roman"/>
          <w:b/>
          <w:sz w:val="30"/>
          <w:szCs w:val="30"/>
        </w:rPr>
      </w:pPr>
    </w:p>
    <w:p w:rsidR="00190CF8" w:rsidRPr="00190CF8" w:rsidRDefault="00190CF8" w:rsidP="00190CF8">
      <w:pPr>
        <w:spacing w:line="300" w:lineRule="auto"/>
        <w:jc w:val="center"/>
        <w:textAlignment w:val="baseline"/>
        <w:rPr>
          <w:rFonts w:ascii="黑体" w:eastAsia="黑体" w:hAnsi="黑体" w:cs="Times New Roman"/>
          <w:sz w:val="32"/>
          <w:szCs w:val="32"/>
        </w:rPr>
      </w:pPr>
      <w:r w:rsidRPr="00190CF8">
        <w:rPr>
          <w:rFonts w:ascii="Times New Roman" w:eastAsia="楷体_GB2312" w:hAnsi="Times New Roman" w:cs="Times New Roman"/>
          <w:b/>
          <w:sz w:val="32"/>
          <w:szCs w:val="32"/>
        </w:rPr>
        <w:t>202</w:t>
      </w:r>
      <w:r w:rsidRPr="00190CF8">
        <w:rPr>
          <w:rFonts w:ascii="Times New Roman" w:eastAsia="楷体_GB2312" w:hAnsi="Times New Roman" w:cs="Times New Roman" w:hint="eastAsia"/>
          <w:b/>
          <w:sz w:val="32"/>
          <w:szCs w:val="32"/>
        </w:rPr>
        <w:t>2</w:t>
      </w:r>
      <w:r w:rsidRPr="00190CF8">
        <w:rPr>
          <w:rFonts w:ascii="Times New Roman" w:eastAsia="楷体_GB2312" w:hAnsi="Times New Roman" w:cs="Times New Roman" w:hint="eastAsia"/>
          <w:b/>
          <w:sz w:val="32"/>
          <w:szCs w:val="32"/>
        </w:rPr>
        <w:t>年</w:t>
      </w:r>
      <w:r w:rsidRPr="00190CF8">
        <w:rPr>
          <w:rFonts w:ascii="Times New Roman" w:eastAsia="楷体_GB2312" w:hAnsi="Times New Roman" w:cs="Times New Roman"/>
          <w:b/>
          <w:sz w:val="32"/>
          <w:szCs w:val="32"/>
        </w:rPr>
        <w:t>1</w:t>
      </w:r>
      <w:r w:rsidRPr="00190CF8">
        <w:rPr>
          <w:rFonts w:ascii="Times New Roman" w:eastAsia="楷体_GB2312" w:hAnsi="Times New Roman" w:cs="Times New Roman" w:hint="eastAsia"/>
          <w:b/>
          <w:sz w:val="32"/>
          <w:szCs w:val="32"/>
        </w:rPr>
        <w:t>月</w:t>
      </w:r>
      <w:r w:rsidRPr="00190CF8">
        <w:rPr>
          <w:rFonts w:ascii="Times New Roman" w:eastAsia="楷体_GB2312" w:hAnsi="Times New Roman" w:cs="Times New Roman"/>
          <w:b/>
          <w:sz w:val="32"/>
          <w:szCs w:val="32"/>
        </w:rPr>
        <w:t>10</w:t>
      </w:r>
      <w:r w:rsidRPr="00190CF8">
        <w:rPr>
          <w:rFonts w:ascii="Times New Roman" w:eastAsia="楷体_GB2312" w:hAnsi="Times New Roman" w:cs="Times New Roman" w:hint="eastAsia"/>
          <w:b/>
          <w:sz w:val="32"/>
          <w:szCs w:val="32"/>
        </w:rPr>
        <w:t>日</w:t>
      </w:r>
    </w:p>
    <w:p w:rsidR="00190CF8" w:rsidRPr="00190CF8" w:rsidRDefault="00190CF8" w:rsidP="00190CF8">
      <w:pPr>
        <w:widowControl/>
        <w:spacing w:line="300" w:lineRule="auto"/>
        <w:jc w:val="left"/>
        <w:rPr>
          <w:rFonts w:ascii="黑体" w:eastAsia="黑体" w:hAnsi="黑体" w:cs="Times New Roman"/>
          <w:sz w:val="32"/>
          <w:szCs w:val="32"/>
        </w:rPr>
        <w:sectPr w:rsidR="00190CF8" w:rsidRPr="00190CF8">
          <w:pgSz w:w="11906" w:h="16838"/>
          <w:pgMar w:top="1417" w:right="1587" w:bottom="1417" w:left="1474" w:header="851" w:footer="992" w:gutter="0"/>
          <w:pgNumType w:start="1"/>
          <w:cols w:space="720"/>
          <w:docGrid w:type="lines" w:linePitch="312"/>
        </w:sectPr>
      </w:pPr>
    </w:p>
    <w:p w:rsidR="00190CF8" w:rsidRPr="00190CF8" w:rsidRDefault="00190CF8" w:rsidP="00190CF8">
      <w:pPr>
        <w:widowControl/>
        <w:spacing w:line="300" w:lineRule="auto"/>
        <w:textAlignment w:val="baseline"/>
        <w:rPr>
          <w:rFonts w:ascii="宋体" w:eastAsia="宋体" w:hAnsi="宋体" w:cs="方正仿宋简体"/>
          <w:sz w:val="32"/>
          <w:szCs w:val="32"/>
        </w:rPr>
      </w:pPr>
      <w:r w:rsidRPr="00190CF8">
        <w:rPr>
          <w:rFonts w:ascii="黑体" w:eastAsia="黑体" w:hAnsi="黑体" w:cs="Times New Roman" w:hint="eastAsia"/>
          <w:sz w:val="32"/>
          <w:szCs w:val="32"/>
        </w:rPr>
        <w:lastRenderedPageBreak/>
        <w:t xml:space="preserve">   </w:t>
      </w:r>
      <w:r w:rsidRPr="00190CF8">
        <w:rPr>
          <w:rFonts w:ascii="黑体" w:eastAsia="黑体" w:hAnsi="黑体" w:cs="黑体" w:hint="eastAsia"/>
          <w:sz w:val="32"/>
          <w:szCs w:val="32"/>
        </w:rPr>
        <w:t xml:space="preserve"> 一、学位授权点基本情况</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24"/>
        </w:rPr>
      </w:pPr>
      <w:r w:rsidRPr="00190CF8">
        <w:rPr>
          <w:rFonts w:ascii="仿宋_GB2312" w:eastAsia="仿宋_GB2312" w:hAnsi="仿宋_GB2312" w:cs="仿宋_GB2312" w:hint="eastAsia"/>
          <w:kern w:val="0"/>
          <w:sz w:val="32"/>
          <w:szCs w:val="32"/>
        </w:rPr>
        <w:t>本专业学位授权点于2010年获批，2011年开始招生。依托金融学国家重点学科、应用经济学一级学科博士点及多个省市重点研究基地，本专业学位点搭建了高层次人才培养的优势平台和完整体系，同时也是港澳台地区高层次金融人才培养重镇，在华南地区乃至全国具有重要影响。</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本专业学位教育以培养“国际一流、服务湾区”的高端复合型金融人才为理念，注重培养学生系统地掌握金融领域的专业知识，坚持创新思维与社会实践相结合、国际化与本土化相结合的培养模式，着力提升学生将现代金融管理理念融通于实际业务操作的能力，成为具有国际视野、扎实理论基础和强大实操能力，能够胜任金融和其他领域工作的高素质人才。</w:t>
      </w:r>
    </w:p>
    <w:p w:rsidR="00190CF8" w:rsidRPr="00190CF8" w:rsidRDefault="00190CF8" w:rsidP="00190CF8">
      <w:pPr>
        <w:widowControl/>
        <w:spacing w:line="300" w:lineRule="auto"/>
        <w:textAlignment w:val="baseline"/>
        <w:rPr>
          <w:rFonts w:ascii="宋体" w:eastAsia="宋体" w:hAnsi="宋体" w:cs="方正仿宋简体"/>
          <w:sz w:val="32"/>
          <w:szCs w:val="32"/>
        </w:rPr>
      </w:pPr>
      <w:r w:rsidRPr="00190CF8">
        <w:rPr>
          <w:rFonts w:ascii="黑体" w:eastAsia="黑体" w:hAnsi="黑体" w:cs="Times New Roman" w:hint="eastAsia"/>
          <w:sz w:val="32"/>
          <w:szCs w:val="32"/>
        </w:rPr>
        <w:t xml:space="preserve">   </w:t>
      </w:r>
      <w:r w:rsidRPr="00190CF8">
        <w:rPr>
          <w:rFonts w:ascii="黑体" w:eastAsia="黑体" w:hAnsi="黑体" w:cs="黑体" w:hint="eastAsia"/>
          <w:sz w:val="32"/>
          <w:szCs w:val="32"/>
        </w:rPr>
        <w:t xml:space="preserve"> 二、基本条件</w:t>
      </w:r>
    </w:p>
    <w:p w:rsidR="00190CF8" w:rsidRPr="00190CF8" w:rsidRDefault="00190CF8" w:rsidP="00190CF8">
      <w:pPr>
        <w:autoSpaceDE w:val="0"/>
        <w:autoSpaceDN w:val="0"/>
        <w:adjustRightInd w:val="0"/>
        <w:spacing w:line="300" w:lineRule="auto"/>
        <w:ind w:firstLineChars="200" w:firstLine="643"/>
        <w:jc w:val="left"/>
        <w:rPr>
          <w:rFonts w:ascii="楷体_GB2312" w:eastAsia="楷体_GB2312" w:hAnsi="楷体_GB2312" w:cs="楷体_GB2312"/>
          <w:b/>
          <w:bCs/>
          <w:kern w:val="0"/>
          <w:sz w:val="32"/>
          <w:szCs w:val="24"/>
        </w:rPr>
      </w:pPr>
      <w:r w:rsidRPr="00190CF8">
        <w:rPr>
          <w:rFonts w:ascii="楷体_GB2312" w:eastAsia="楷体_GB2312" w:hAnsi="楷体_GB2312" w:cs="楷体_GB2312" w:hint="eastAsia"/>
          <w:b/>
          <w:bCs/>
          <w:kern w:val="0"/>
          <w:sz w:val="32"/>
          <w:szCs w:val="32"/>
        </w:rPr>
        <w:t>（一）培养方向</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本专业课程设置对标当前国际一流金融应用型人才培养标准，以职业需求为目标，着重强调金融知识的掌握和技能的训练、以素质的全面提升为核心，注重理论与实践相结合。本专业学位的特色优势如下：</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1. 生源质量好。大部分学生来自国家“双一流”高校或国内重点大学，近五年考录比近14:1。近5年来，硕士研究生报考人数共达5068人，呈现逐年增加的趋势，2021年报</w:t>
      </w:r>
      <w:r w:rsidRPr="00190CF8">
        <w:rPr>
          <w:rFonts w:ascii="仿宋_GB2312" w:eastAsia="仿宋_GB2312" w:hAnsi="仿宋_GB2312" w:cs="仿宋_GB2312" w:hint="eastAsia"/>
          <w:kern w:val="0"/>
          <w:sz w:val="32"/>
          <w:szCs w:val="32"/>
        </w:rPr>
        <w:lastRenderedPageBreak/>
        <w:t>考人数更是高达1330人，平均录取比例为7.5%，呈现逐年下降趋势，说明本专业学位点受到更多考生欢迎。加上推免生，目前在读人数已达332人。</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2. 师资力量雄厚。目前有校内指导老师62人，均具有海外教育背景。其中正高级20人，副高级35人，中级7人；具有博士学位的共59人，占比95%；35岁以下有5人，36-45岁有28人，46岁以上有29人。校外导师共计71人，均有较强的职业背景及丰富的实践经验。</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3. 学术氛围良好。近五年，获包括广东省高等学校教学名师奖在内的多项教学成果奖，在《经济研究》、The Economic Journal等国内外权威期刊发表学术论文130余篇，主持国家级项目20余项，省部级及横向课题60余项，深度服务于国家特别是广东的金融和经济发展。</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4. 培养质量高。2021年共毕业115人，初次就业率98.26%，就业单位分布为党政机关9.73%，事业单位9.73%，国有企业48.67%，民营企业27.83%，三资企业2.65%。</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5. 与金融部门密切合作，积极开展产学研合作，先后与中国人民银行广州分行、广发证券公司等多家金融机构建立校外实践基地，实现校外导师与实习项目对接。</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6. 积极为地方经济金融发展提供智力支持，提出广东省“金融强省”战略、“化解地方重大金融风险”方案、提出南沙自贸区金融改革方案等。另外，与广东省政府联合成</w:t>
      </w:r>
      <w:r w:rsidRPr="00190CF8">
        <w:rPr>
          <w:rFonts w:ascii="仿宋_GB2312" w:eastAsia="仿宋_GB2312" w:hAnsi="仿宋_GB2312" w:cs="仿宋_GB2312" w:hint="eastAsia"/>
          <w:kern w:val="0"/>
          <w:sz w:val="32"/>
          <w:szCs w:val="32"/>
        </w:rPr>
        <w:lastRenderedPageBreak/>
        <w:t>立暨南大学南方高等金融研究院智库，为广东省政府高层提供决策支持。</w:t>
      </w:r>
    </w:p>
    <w:p w:rsidR="00190CF8" w:rsidRPr="00190CF8" w:rsidRDefault="00190CF8" w:rsidP="00190CF8">
      <w:pPr>
        <w:autoSpaceDE w:val="0"/>
        <w:autoSpaceDN w:val="0"/>
        <w:adjustRightInd w:val="0"/>
        <w:spacing w:line="300" w:lineRule="auto"/>
        <w:ind w:firstLineChars="200" w:firstLine="643"/>
        <w:jc w:val="left"/>
        <w:rPr>
          <w:rFonts w:ascii="楷体_GB2312" w:eastAsia="楷体_GB2312" w:hAnsi="楷体_GB2312" w:cs="楷体_GB2312"/>
          <w:b/>
          <w:bCs/>
          <w:kern w:val="0"/>
          <w:sz w:val="32"/>
          <w:szCs w:val="32"/>
        </w:rPr>
      </w:pPr>
      <w:r w:rsidRPr="00190CF8">
        <w:rPr>
          <w:rFonts w:ascii="楷体_GB2312" w:eastAsia="楷体_GB2312" w:hAnsi="楷体_GB2312" w:cs="楷体_GB2312" w:hint="eastAsia"/>
          <w:b/>
          <w:bCs/>
          <w:kern w:val="0"/>
          <w:sz w:val="32"/>
          <w:szCs w:val="32"/>
        </w:rPr>
        <w:t>（二）师资队伍</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本专业师资力量雄厚，学术氛围良好。目前有校内指导老师62人，均具有海外教育背景。其中正高级20人，副高级35人，中级7人；具有博士学位的共59人，占比95%；35岁以下有5人，36-45岁有28人，46岁以上有29人。校外导师共计71人，均有较强的职业背景及丰富的实践经验。近五年，本专业教师获包括广东省高等学校教学名师奖在内的多项教学成果奖，在《经济研究》、The Economic Journal等国内外权威期刊发表学术论文130余篇，主持国家级项目20余项，省部级及横向课题60余项，深度服务于国家特别是广东的金融和经济发展。</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本专业教师坚持以德立身、以德立学、以德施教，展现出新时代人民教师理想信念坚定、业务素质精湛、勇挑责任担当的精神风貌。学院党委获广东省“党建工作标杆院系”荣誉称号；获批主持广东省教育科学党建规划项目；系所教师党支部获评广东高校第三批“新时代高校党建示范创建和质量创优工作”党建样板支部培育创建单位。</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本专业以推进粤港澳大湾区建设，为大湾区输出高素质金融专门人才为社会使命和历史担当。本专业致力于搭建高质量的政策交流平台，例如举办针对粤港澳大湾区研究的政策活动等。本专业融创新实践与博雅教育为一体，结合金融相关行业对专业人才需求的特点，开设“未来金融家孵化项目”，以培养德、智、体全面发展，具有良好的金融领域综合素质和国际视野的本专业人才为使命。该项目已经取得大量代表性的成果，先后获得暨南大学教学改革成果二等奖两项。师德师风建设获得多方肯定，学科带头人刘少波教授获评第八届“广东省高等学校教学名师奖”；学科带头人蒋海教授获评暨南大学十佳优秀研究生导师；多位专业老师获评暨南大学“十佳优秀教师”“优秀班主任”等多项荣誉。</w:t>
      </w:r>
    </w:p>
    <w:p w:rsidR="00190CF8" w:rsidRPr="00190CF8" w:rsidRDefault="00190CF8" w:rsidP="00190CF8">
      <w:pPr>
        <w:autoSpaceDE w:val="0"/>
        <w:autoSpaceDN w:val="0"/>
        <w:adjustRightInd w:val="0"/>
        <w:spacing w:line="300" w:lineRule="auto"/>
        <w:ind w:firstLineChars="200" w:firstLine="643"/>
        <w:jc w:val="left"/>
        <w:rPr>
          <w:rFonts w:ascii="Times New Roman" w:eastAsia="宋体" w:hAnsi="Times New Roman" w:cs="Times New Roman"/>
          <w:b/>
          <w:bCs/>
          <w:kern w:val="0"/>
          <w:szCs w:val="21"/>
        </w:rPr>
      </w:pPr>
      <w:r w:rsidRPr="00190CF8">
        <w:rPr>
          <w:rFonts w:ascii="楷体_GB2312" w:eastAsia="楷体_GB2312" w:hAnsi="楷体_GB2312" w:cs="楷体_GB2312" w:hint="eastAsia"/>
          <w:b/>
          <w:bCs/>
          <w:kern w:val="0"/>
          <w:sz w:val="32"/>
          <w:szCs w:val="32"/>
        </w:rPr>
        <w:t>（三）导师队伍建设</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本专业导师队伍建设特色如下：</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1. 实施研究生培养双导师制，形成校内外导师的合力，组成一支既有较高学术含量，又有显著职业背景、丰富实践经验和较强解决问题能力的导师队伍。</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2. 导师队伍学源结构多样，均具有海外教育背景。本专业对校内导师和校外实践导师均制订严格的评定标准，对于专硕导师的遴选更加注重导师的业界经验和实践能力。同时，不断加强导师队伍的培训和优化。</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3. 完善双向互选互动机制。把研究生和导师互选作为改进研究生培养的重要环节，明确互选原则、标准、程序、要求，充分尊重导师和学生的双向选择权。</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4. 全面落实育人职责。导师是研究生培养的第一责任人，负有对研究生进行学科前沿引导、科研方法指导和学术规范教导的责任。</w:t>
      </w:r>
    </w:p>
    <w:p w:rsidR="00190CF8" w:rsidRPr="00190CF8" w:rsidRDefault="00190CF8" w:rsidP="00190CF8">
      <w:pPr>
        <w:autoSpaceDE w:val="0"/>
        <w:autoSpaceDN w:val="0"/>
        <w:adjustRightInd w:val="0"/>
        <w:spacing w:line="300" w:lineRule="auto"/>
        <w:ind w:firstLineChars="200" w:firstLine="643"/>
        <w:jc w:val="left"/>
        <w:rPr>
          <w:rFonts w:ascii="楷体_GB2312" w:eastAsia="楷体_GB2312" w:hAnsi="楷体_GB2312" w:cs="楷体_GB2312"/>
          <w:b/>
          <w:bCs/>
          <w:kern w:val="0"/>
          <w:sz w:val="32"/>
          <w:szCs w:val="32"/>
        </w:rPr>
      </w:pPr>
      <w:r w:rsidRPr="00190CF8">
        <w:rPr>
          <w:rFonts w:ascii="楷体_GB2312" w:eastAsia="楷体_GB2312" w:hAnsi="楷体_GB2312" w:cs="楷体_GB2312" w:hint="eastAsia"/>
          <w:b/>
          <w:bCs/>
          <w:kern w:val="0"/>
          <w:sz w:val="32"/>
          <w:szCs w:val="32"/>
        </w:rPr>
        <w:t>（四）师德师风建设</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本专业以《中共中央国务院关于全面深化新时代教师队伍建设改革的意见》精神为指导，强化师德教育，力行师德规范，优化制度环境，促进广大教师思想政治素质、职业道德水平和法纪观念的整体提升。打造一支师德高尚、专业精湛、结构合理、充满活力的新时代高素质教师队伍。</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1. 师德失范行为“一票否决”。建立和完善师德师风建设规章制度体系，发布师德考核实施办法、师德失范“一票否决”实施细则、教师职业道德规范（中英文）等制度，形成一套涵盖师德建设、师德考核与激励、师德失范监督与惩处等全领域制度规范，将师德师风作为评价第一标准贯穿于人才引进、职称评聘、岗位聘用、导师遴选、评优奖励和人才推荐等教师职业发展全过程，实施师德师风一票否决制。</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2. 以党建活动引领师德师风建设。制定抓教师党支部组织力建设实施方案、校院领导联系教师党支部、院系领导“思政第一课”等制度，把立德树人作为学院的根本任务，凸显侨校特色，把中华优秀传统文化更好地传播到五洲四海，为维护祖国统一、港澳繁荣稳定，团结凝聚海内外中华儿女齐心共筑中国梦做出更大贡献。同时，组织全体师生党员参加“学习强国”的学习活动，不定期组织开展专题培训、座谈讨论，加强学习检查和督促考核。例如通过广东省教师公需课学习平台，组织教职工进行师德师风专题教育。</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3. 以教科研活动推动师德师风建设。推出“立德树人——学生眼中的老师”“暨南经院学人系列”“暨南经院名师系列”“暨南经院院长系列”等文章70余篇，总点击量超过10万次，发挥师德榜样力量；学科带头人刘少波教授获评第八届“广东省高等学校教学名师奖”；学科带头人蒋海教授获评暨南大学十佳优秀研究生导师；多位专业老师获评暨南大学“十佳优秀教师”“优秀班主任”；每年颁发“经济学院特殊贡献奖”表彰从教30周年的教师，以已故经济学家张元元教授名义设立奖教金鼓励师生创新等，加强教师自认同感、幸福感和成就感。</w:t>
      </w:r>
    </w:p>
    <w:p w:rsidR="00190CF8" w:rsidRPr="00190CF8" w:rsidRDefault="00190CF8" w:rsidP="00190CF8">
      <w:pPr>
        <w:autoSpaceDE w:val="0"/>
        <w:autoSpaceDN w:val="0"/>
        <w:adjustRightInd w:val="0"/>
        <w:spacing w:line="300" w:lineRule="auto"/>
        <w:ind w:firstLineChars="200" w:firstLine="643"/>
        <w:jc w:val="left"/>
        <w:rPr>
          <w:rFonts w:ascii="楷体_GB2312" w:eastAsia="楷体_GB2312" w:hAnsi="楷体_GB2312" w:cs="楷体_GB2312"/>
          <w:b/>
          <w:bCs/>
          <w:kern w:val="0"/>
          <w:sz w:val="32"/>
          <w:szCs w:val="32"/>
        </w:rPr>
      </w:pPr>
      <w:r w:rsidRPr="00190CF8">
        <w:rPr>
          <w:rFonts w:ascii="楷体_GB2312" w:eastAsia="楷体_GB2312" w:hAnsi="楷体_GB2312" w:cs="楷体_GB2312" w:hint="eastAsia"/>
          <w:b/>
          <w:bCs/>
          <w:kern w:val="0"/>
          <w:sz w:val="32"/>
          <w:szCs w:val="32"/>
        </w:rPr>
        <w:t>（五）研究生奖助情况</w:t>
      </w:r>
    </w:p>
    <w:p w:rsidR="00190CF8" w:rsidRPr="00190CF8" w:rsidRDefault="00190CF8" w:rsidP="00190CF8">
      <w:pPr>
        <w:autoSpaceDE w:val="0"/>
        <w:autoSpaceDN w:val="0"/>
        <w:adjustRightInd w:val="0"/>
        <w:spacing w:line="300" w:lineRule="auto"/>
        <w:ind w:firstLineChars="200" w:firstLine="640"/>
        <w:jc w:val="left"/>
        <w:rPr>
          <w:rFonts w:ascii="楷体_GB2312" w:eastAsia="楷体_GB2312" w:hAnsi="楷体_GB2312" w:cs="楷体_GB2312"/>
          <w:b/>
          <w:bCs/>
          <w:kern w:val="0"/>
          <w:sz w:val="32"/>
          <w:szCs w:val="32"/>
        </w:rPr>
      </w:pPr>
      <w:r w:rsidRPr="00190CF8">
        <w:rPr>
          <w:rFonts w:ascii="仿宋_GB2312" w:eastAsia="仿宋_GB2312" w:hAnsi="仿宋_GB2312" w:cs="仿宋_GB2312" w:hint="eastAsia"/>
          <w:kern w:val="0"/>
          <w:sz w:val="32"/>
          <w:szCs w:val="32"/>
        </w:rPr>
        <w:t>经济学院所有在最低学制年限内，具有中华人民共和国国籍且纳入全国研究生招生计划的全日制（全脱产学习）研究生均可申请国家奖学金、学业奖学金等。硕士研究生国家奖学金奖励标准为每生每年2万元。学业一等奖学金1.2万元/年、学业二等奖学金0.6万元/年、学业三等奖学金0.2万元/年。</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本专业学位培养学生在2021年，获国家奖学金5人，学业奖学金一等31人，二等187，三等83，澳门银行奖学金1人，校优秀毕业生2人。</w:t>
      </w:r>
    </w:p>
    <w:p w:rsidR="00190CF8" w:rsidRPr="00190CF8" w:rsidRDefault="00190CF8" w:rsidP="00190CF8">
      <w:pPr>
        <w:spacing w:line="300" w:lineRule="auto"/>
        <w:ind w:firstLineChars="200" w:firstLine="643"/>
        <w:rPr>
          <w:rFonts w:ascii="仿宋_GB2312" w:eastAsia="仿宋_GB2312" w:hAnsi="仿宋_GB2312" w:cs="仿宋_GB2312"/>
          <w:kern w:val="0"/>
          <w:sz w:val="32"/>
          <w:szCs w:val="32"/>
        </w:rPr>
      </w:pPr>
      <w:r w:rsidRPr="00190CF8">
        <w:rPr>
          <w:rFonts w:ascii="黑体" w:eastAsia="黑体" w:hAnsi="黑体" w:cs="黑体" w:hint="eastAsia"/>
          <w:b/>
          <w:bCs/>
          <w:sz w:val="32"/>
          <w:szCs w:val="24"/>
        </w:rPr>
        <w:t>三、人才培养</w:t>
      </w:r>
    </w:p>
    <w:p w:rsidR="00190CF8" w:rsidRPr="00190CF8" w:rsidRDefault="00190CF8" w:rsidP="00190CF8">
      <w:pPr>
        <w:spacing w:line="300" w:lineRule="auto"/>
        <w:ind w:firstLineChars="200" w:firstLine="643"/>
        <w:rPr>
          <w:rFonts w:ascii="仿宋_GB2312" w:eastAsia="仿宋_GB2312" w:hAnsi="仿宋_GB2312" w:cs="仿宋_GB2312"/>
          <w:kern w:val="0"/>
          <w:sz w:val="32"/>
          <w:szCs w:val="32"/>
        </w:rPr>
      </w:pPr>
      <w:r w:rsidRPr="00190CF8">
        <w:rPr>
          <w:rFonts w:ascii="楷体_GB2312" w:eastAsia="楷体_GB2312" w:hAnsi="楷体_GB2312" w:cs="楷体_GB2312" w:hint="eastAsia"/>
          <w:b/>
          <w:bCs/>
          <w:kern w:val="0"/>
          <w:sz w:val="32"/>
          <w:szCs w:val="32"/>
        </w:rPr>
        <w:t>（一）招生选拔</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大部分学生来自国家“双一流”高校或国内重点大学，近五年考录比近14:1。近5年来，硕士研究生报考人数共达5068人，呈现逐年增加的趋势，2021年报考人数更是高达1330人，平均录取比例为7.5%，呈现逐年下降趋势，说明本专业学位点受到更多考生欢迎。加上推免生，目前在读人数已达332人。</w:t>
      </w:r>
    </w:p>
    <w:p w:rsidR="00190CF8" w:rsidRPr="00190CF8" w:rsidRDefault="00190CF8" w:rsidP="00190CF8">
      <w:pPr>
        <w:autoSpaceDE w:val="0"/>
        <w:autoSpaceDN w:val="0"/>
        <w:adjustRightInd w:val="0"/>
        <w:spacing w:line="300" w:lineRule="auto"/>
        <w:ind w:firstLineChars="200" w:firstLine="643"/>
        <w:jc w:val="left"/>
        <w:rPr>
          <w:rFonts w:ascii="仿宋_GB2312" w:eastAsia="仿宋_GB2312" w:hAnsi="仿宋_GB2312" w:cs="仿宋_GB2312"/>
          <w:kern w:val="0"/>
          <w:sz w:val="32"/>
          <w:szCs w:val="32"/>
        </w:rPr>
      </w:pPr>
      <w:r w:rsidRPr="00190CF8">
        <w:rPr>
          <w:rFonts w:ascii="楷体_GB2312" w:eastAsia="楷体_GB2312" w:hAnsi="楷体_GB2312" w:cs="楷体_GB2312" w:hint="eastAsia"/>
          <w:b/>
          <w:bCs/>
          <w:kern w:val="0"/>
          <w:sz w:val="32"/>
          <w:szCs w:val="32"/>
        </w:rPr>
        <w:t>（二）党建和思想政治教育</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本专业学位全面贯彻习近平总书记关于教育的重要论述及视察广东和暨南大学重要讲话精神，围绕“培养什么人、怎样培养人、为谁培养人”这一根本问题，形成全员育人、全过程育人、全方位育人格局。积极构建协同育人工作机制，把内地研究生培养成为德智体美劳全面发展的社会主义建设者和接班人；把港澳台研究生培养成为拥护祖国统一、拥护“一国两制”的坚定爱国者；把华侨研究生培养成为高素质的中华文化传承者；把留学研究生培养成为中外文化交流中的友好使者。具体做法如下：</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1. 强化党委全面领导，建强改革“桥头堡”。强化思政工作体制机制，创新打造“金融家论坛”“名师下午茶”等品牌项目，由“点”到“线”、聚“面”成“体”，构建党委统一领导、党政齐抓共管、教学管理服务多部门联动、师生员工和家长校友共同参与的全员育人体系，构建“院系-班级-宿舍”三级预警和应急处置体系，筑牢意识形态阵地防线。</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2. 打造优秀思政队伍，建设育人“主力军”。坚持年度思政工作述职考核，签订意识形态工作责任书；执行《师德师风考核实施办法》，制定相关激励办法；以“教师党支部书记‘双带头人’培育计划”为切入点，发挥“头雁”引领作用；用好考核评价“指挥棒”，高标准推进思政队伍建设；开展“青年教师能力提升工作”，抓好育人“主力军”建设。</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3. 构筑协同育人模式，课程思政“有势头”。根据金融学科特点，以培养学生经世济民、诚信服务、德法兼修的职业素养为目标，开全开好研究生思想政治理论课，推进习近平新时代中国特色社会主义思想进教材、进课堂、进头脑。积极发掘“课程思政”教育功能，将专业课程所承载的思政元素融入到课程教学的各环节；充分发挥实践课堂育人功能，依托“广东千村调查”等实践育人品牌以及专业实践基地，为学生创造充分认识社会、研究社会的机会，突出培养学生的爱国情怀和社会认同感。</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4. 擦亮学科金字招牌，实现育人“全方位”。突出侨校特色，培养“有家国情怀、有过硬本领、有国际视野”的优秀金融人才。本专业学位实施了“信仰启航”“先锋示范”“卓越领航”三大工程，积极开展“学生党员先锋班”“优秀学子奖励计划”和“学生创新实践训练营”，培养又红又专的优秀学科人才。推进“优秀港澳台侨学生学业精进砥砺前行培养工程”，鼓励学生加入“港澳台侨学生国情社情考察团”，引导港澳台侨学生增强“四个认同”。落实“思政第一课”，推进朋辈发展工作坊，大力营造“至臻学业，多元共融”文化氛围，实现立体化育人格局。</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暨南大学坚持“大思政”的办学思路，构建了思政工作“1+8+X”制度群，加强了顶层的设计，将思想政治教育的成效与特色列为教育教学评价、学科建设的首要条件。本专业学位围绕学校整体部署，深入推进“三全育人”综合改革，将导心、导学、导行结合起来，把正确政治方向和价值导向贯穿研究生教育和管理工作全过程。主要成效如下：</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1. 育人有保障，党委全面领导作用突出。本专业学位党建工作扎实有力，品牌效应突出，基层党组织战斗堡垒作用和共产党员的先锋模范作用充分发挥，为凝聚各方力量、提升“大思政”育人合力提供了强大的组织体系保障，切实把党建优势转化为提升思想政治工作水平的巨大动力。近五年，本专业学位所在学科荣获教育部全国高校“两学一做”学生党支部精品工作案例、广东省高校“两学一做”支部风采展示活动优秀支部生活创新案例二等奖、广东省高校基层党建工作创新案例二等奖；获批“广东省党建工作标杆院系”培育创建单位、广东省教育科学“十三五” 规划党建研究项目。院系党组织“守好责任田”，主动担负起政治责任和领导责任，强化教材选用和课堂管理、设立了学术讲座和学生社团活动“分级审批、分类报备”的管理责任制、狠抓网络空间治理，及时管控舆情，牢牢把握住意识形态阵地主导权。</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2. 育人有思路，专业特色思政体系建立。本专业学位“三全育人”综合改革的政治、思想、行动自觉意识显著提升，教师、校友和家长协调联动，同心同向发力的良好育人局面已形成。思政育人品牌特色鲜明、亮点突出，多次被作为典型案例和先进做法进行推广。其中，学生通过 “千村调查项目”，走进田间地头，了解社会民生，获广东卫视专题报道。“优秀港澳台侨学生学业精进砥砺前行培养工程”辐射港澳台侨学生。荣获“全国五四红旗团支部”“广东省高校学生工作优秀团队”“广东省五四红旗团委”等。</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3. 育人有成效，学生素质全面发展提升。本专业培养的青年学生志存高远、至臻学业，德智体美劳全面发展，多人获省部级以上表彰奖励，社会实践和创新创业成果丰硕。在专业素养方面，学生在大学生创新创业项目、挑战杯等各大赛事中均有出色表现，并积极撰写学术论文与调研报告。在综合素质方面，学生在学校运动会各项比赛中奋勇争先，获得“九连冠”；感恩意识强，主动奉献社会，积极参加大学生志愿服务西部计划、投身疫情防控一线。近年来毕业生就业率达95%以上，为社会输送大批优秀金融学人才，成为国家繁荣稳定的重要建设者。</w:t>
      </w:r>
    </w:p>
    <w:p w:rsidR="00190CF8" w:rsidRPr="00190CF8" w:rsidRDefault="00190CF8" w:rsidP="00190CF8">
      <w:pPr>
        <w:autoSpaceDE w:val="0"/>
        <w:autoSpaceDN w:val="0"/>
        <w:adjustRightInd w:val="0"/>
        <w:spacing w:line="300" w:lineRule="auto"/>
        <w:ind w:firstLineChars="200" w:firstLine="643"/>
        <w:jc w:val="left"/>
        <w:rPr>
          <w:rFonts w:ascii="楷体_GB2312" w:eastAsia="楷体_GB2312" w:hAnsi="楷体_GB2312" w:cs="楷体_GB2312"/>
          <w:b/>
          <w:bCs/>
          <w:kern w:val="0"/>
          <w:sz w:val="32"/>
          <w:szCs w:val="32"/>
        </w:rPr>
      </w:pPr>
      <w:r w:rsidRPr="00190CF8">
        <w:rPr>
          <w:rFonts w:ascii="楷体_GB2312" w:eastAsia="楷体_GB2312" w:hAnsi="楷体_GB2312" w:cs="楷体_GB2312" w:hint="eastAsia"/>
          <w:b/>
          <w:bCs/>
          <w:kern w:val="0"/>
          <w:sz w:val="32"/>
          <w:szCs w:val="32"/>
        </w:rPr>
        <w:t>（三）培养方案</w:t>
      </w:r>
    </w:p>
    <w:p w:rsidR="00190CF8" w:rsidRPr="00190CF8" w:rsidRDefault="00190CF8" w:rsidP="00190CF8">
      <w:pPr>
        <w:autoSpaceDE w:val="0"/>
        <w:autoSpaceDN w:val="0"/>
        <w:adjustRightInd w:val="0"/>
        <w:spacing w:line="300" w:lineRule="auto"/>
        <w:ind w:firstLineChars="200" w:firstLine="640"/>
        <w:jc w:val="left"/>
        <w:rPr>
          <w:rFonts w:ascii="楷体_GB2312" w:eastAsia="楷体_GB2312" w:hAnsi="楷体_GB2312" w:cs="楷体_GB2312"/>
          <w:b/>
          <w:bCs/>
          <w:kern w:val="0"/>
          <w:sz w:val="32"/>
          <w:szCs w:val="32"/>
        </w:rPr>
      </w:pPr>
      <w:r w:rsidRPr="00190CF8">
        <w:rPr>
          <w:rFonts w:ascii="仿宋_GB2312" w:eastAsia="仿宋_GB2312" w:hAnsi="仿宋_GB2312" w:cs="仿宋_GB2312" w:hint="eastAsia"/>
          <w:kern w:val="0"/>
          <w:sz w:val="32"/>
          <w:szCs w:val="32"/>
        </w:rPr>
        <w:t>根据全国金融硕士专业学位教育指导委员会意见和要求，本专业于2011 年制订了《暨南大学金融硕士专业学位研究生培养方案》。在实施过程中，就培养过程中出现的新问题和新特点，不断修改完善，以顺应金融专业学位教育发展规律，契合社会发展需求。现行培养方案于2019年修订完成。</w:t>
      </w:r>
    </w:p>
    <w:p w:rsidR="00190CF8" w:rsidRPr="00190CF8" w:rsidRDefault="00190CF8" w:rsidP="00190CF8">
      <w:pPr>
        <w:autoSpaceDE w:val="0"/>
        <w:autoSpaceDN w:val="0"/>
        <w:adjustRightInd w:val="0"/>
        <w:spacing w:line="300" w:lineRule="auto"/>
        <w:ind w:firstLineChars="200" w:firstLine="640"/>
        <w:jc w:val="left"/>
        <w:rPr>
          <w:rFonts w:ascii="楷体_GB2312" w:eastAsia="楷体_GB2312" w:hAnsi="楷体_GB2312" w:cs="楷体_GB2312"/>
          <w:b/>
          <w:bCs/>
          <w:kern w:val="0"/>
          <w:sz w:val="32"/>
          <w:szCs w:val="32"/>
        </w:rPr>
      </w:pPr>
      <w:r w:rsidRPr="00190CF8">
        <w:rPr>
          <w:rFonts w:ascii="仿宋_GB2312" w:eastAsia="仿宋_GB2312" w:hAnsi="仿宋_GB2312" w:cs="仿宋_GB2312" w:hint="eastAsia"/>
          <w:kern w:val="0"/>
          <w:sz w:val="32"/>
          <w:szCs w:val="32"/>
        </w:rPr>
        <w:t>1. 课程设置结合专业学位特点，以职业需求为导向，侧重应用性和实务性，总学分为38学分。其中，公共学位课4学分，专业学位课11学分，非学位课23学分。</w:t>
      </w:r>
    </w:p>
    <w:p w:rsidR="00190CF8" w:rsidRPr="00190CF8" w:rsidRDefault="00190CF8" w:rsidP="00190CF8">
      <w:pPr>
        <w:autoSpaceDE w:val="0"/>
        <w:autoSpaceDN w:val="0"/>
        <w:adjustRightInd w:val="0"/>
        <w:spacing w:line="300" w:lineRule="auto"/>
        <w:ind w:firstLineChars="200" w:firstLine="640"/>
        <w:jc w:val="left"/>
        <w:rPr>
          <w:rFonts w:ascii="楷体_GB2312" w:eastAsia="楷体_GB2312" w:hAnsi="楷体_GB2312" w:cs="楷体_GB2312"/>
          <w:b/>
          <w:bCs/>
          <w:kern w:val="0"/>
          <w:sz w:val="32"/>
          <w:szCs w:val="32"/>
        </w:rPr>
      </w:pPr>
      <w:r w:rsidRPr="00190CF8">
        <w:rPr>
          <w:rFonts w:ascii="仿宋_GB2312" w:eastAsia="仿宋_GB2312" w:hAnsi="仿宋_GB2312" w:cs="仿宋_GB2312" w:hint="eastAsia"/>
          <w:kern w:val="0"/>
          <w:sz w:val="32"/>
          <w:szCs w:val="32"/>
        </w:rPr>
        <w:t>（1）专业学位课主要有《投资学》《金融衍生工具》《金融理论与政策》《公司金融》《财务报表分析》。</w:t>
      </w:r>
    </w:p>
    <w:p w:rsidR="00190CF8" w:rsidRPr="00190CF8" w:rsidRDefault="00190CF8" w:rsidP="00190CF8">
      <w:pPr>
        <w:autoSpaceDE w:val="0"/>
        <w:autoSpaceDN w:val="0"/>
        <w:adjustRightInd w:val="0"/>
        <w:spacing w:line="300" w:lineRule="auto"/>
        <w:ind w:firstLineChars="200" w:firstLine="640"/>
        <w:jc w:val="left"/>
        <w:rPr>
          <w:rFonts w:ascii="楷体_GB2312" w:eastAsia="楷体_GB2312" w:hAnsi="楷体_GB2312" w:cs="楷体_GB2312"/>
          <w:b/>
          <w:bCs/>
          <w:kern w:val="0"/>
          <w:sz w:val="32"/>
          <w:szCs w:val="32"/>
        </w:rPr>
      </w:pPr>
      <w:r w:rsidRPr="00190CF8">
        <w:rPr>
          <w:rFonts w:ascii="仿宋_GB2312" w:eastAsia="仿宋_GB2312" w:hAnsi="仿宋_GB2312" w:cs="仿宋_GB2312" w:hint="eastAsia"/>
          <w:kern w:val="0"/>
          <w:sz w:val="32"/>
          <w:szCs w:val="32"/>
        </w:rPr>
        <w:t>（2）非学位课包括《金融科技》《量化投资理论与策略》《固定收益证券分析》《金融计量学》《金融法》等。</w:t>
      </w:r>
    </w:p>
    <w:p w:rsidR="00190CF8" w:rsidRPr="00190CF8" w:rsidRDefault="00190CF8" w:rsidP="00190CF8">
      <w:pPr>
        <w:autoSpaceDE w:val="0"/>
        <w:autoSpaceDN w:val="0"/>
        <w:adjustRightInd w:val="0"/>
        <w:spacing w:line="300" w:lineRule="auto"/>
        <w:ind w:firstLineChars="200" w:firstLine="640"/>
        <w:jc w:val="left"/>
        <w:rPr>
          <w:rFonts w:ascii="楷体_GB2312" w:eastAsia="楷体_GB2312" w:hAnsi="楷体_GB2312" w:cs="楷体_GB2312"/>
          <w:b/>
          <w:bCs/>
          <w:kern w:val="0"/>
          <w:sz w:val="32"/>
          <w:szCs w:val="32"/>
        </w:rPr>
      </w:pPr>
      <w:r w:rsidRPr="00190CF8">
        <w:rPr>
          <w:rFonts w:ascii="仿宋_GB2312" w:eastAsia="仿宋_GB2312" w:hAnsi="仿宋_GB2312" w:cs="仿宋_GB2312" w:hint="eastAsia"/>
          <w:kern w:val="0"/>
          <w:sz w:val="32"/>
          <w:szCs w:val="32"/>
        </w:rPr>
        <w:t>（3）根据专业学位教育特点，开设《企业并购与重组案例》《金融危机管理案例》等案例教学课程。</w:t>
      </w:r>
    </w:p>
    <w:p w:rsidR="00190CF8" w:rsidRPr="00190CF8" w:rsidRDefault="00190CF8" w:rsidP="00190CF8">
      <w:pPr>
        <w:autoSpaceDE w:val="0"/>
        <w:autoSpaceDN w:val="0"/>
        <w:adjustRightInd w:val="0"/>
        <w:spacing w:line="300" w:lineRule="auto"/>
        <w:ind w:firstLineChars="200" w:firstLine="640"/>
        <w:jc w:val="left"/>
        <w:rPr>
          <w:rFonts w:ascii="楷体_GB2312" w:eastAsia="楷体_GB2312" w:hAnsi="楷体_GB2312" w:cs="楷体_GB2312"/>
          <w:b/>
          <w:bCs/>
          <w:kern w:val="0"/>
          <w:sz w:val="32"/>
          <w:szCs w:val="32"/>
        </w:rPr>
      </w:pPr>
      <w:r w:rsidRPr="00190CF8">
        <w:rPr>
          <w:rFonts w:ascii="仿宋_GB2312" w:eastAsia="仿宋_GB2312" w:hAnsi="仿宋_GB2312" w:cs="仿宋_GB2312" w:hint="eastAsia"/>
          <w:kern w:val="0"/>
          <w:sz w:val="32"/>
          <w:szCs w:val="32"/>
        </w:rPr>
        <w:t>（4）开设《行业前沿讲座》《金融热点与前沿问题》等专题讲座，以了解行业发展的最新动态。</w:t>
      </w:r>
    </w:p>
    <w:p w:rsidR="00190CF8" w:rsidRPr="00190CF8" w:rsidRDefault="00190CF8" w:rsidP="00190CF8">
      <w:pPr>
        <w:autoSpaceDE w:val="0"/>
        <w:autoSpaceDN w:val="0"/>
        <w:adjustRightInd w:val="0"/>
        <w:spacing w:line="300" w:lineRule="auto"/>
        <w:ind w:firstLineChars="200" w:firstLine="640"/>
        <w:jc w:val="left"/>
        <w:rPr>
          <w:rFonts w:ascii="楷体_GB2312" w:eastAsia="楷体_GB2312" w:hAnsi="楷体_GB2312" w:cs="楷体_GB2312"/>
          <w:b/>
          <w:bCs/>
          <w:kern w:val="0"/>
          <w:sz w:val="32"/>
          <w:szCs w:val="32"/>
        </w:rPr>
      </w:pPr>
      <w:r w:rsidRPr="00190CF8">
        <w:rPr>
          <w:rFonts w:ascii="仿宋_GB2312" w:eastAsia="仿宋_GB2312" w:hAnsi="仿宋_GB2312" w:cs="仿宋_GB2312" w:hint="eastAsia"/>
          <w:kern w:val="0"/>
          <w:sz w:val="32"/>
          <w:szCs w:val="32"/>
        </w:rPr>
        <w:t>2. 采取“双导师制”，由一名学术水平较高的校内导师和一名行业经验丰富的校外实践导师共同指导。其中，实践教学为全日制研究生必修课（4学分），以满足金融专业硕士对实践能力的培养要求。</w:t>
      </w:r>
    </w:p>
    <w:p w:rsidR="00190CF8" w:rsidRPr="00190CF8" w:rsidRDefault="00190CF8" w:rsidP="00190CF8">
      <w:pPr>
        <w:autoSpaceDE w:val="0"/>
        <w:autoSpaceDN w:val="0"/>
        <w:adjustRightInd w:val="0"/>
        <w:spacing w:line="300" w:lineRule="auto"/>
        <w:ind w:firstLineChars="200" w:firstLine="640"/>
        <w:jc w:val="left"/>
        <w:rPr>
          <w:rFonts w:ascii="楷体_GB2312" w:eastAsia="楷体_GB2312" w:hAnsi="楷体_GB2312" w:cs="楷体_GB2312"/>
          <w:b/>
          <w:bCs/>
          <w:kern w:val="0"/>
          <w:sz w:val="32"/>
          <w:szCs w:val="32"/>
        </w:rPr>
      </w:pPr>
      <w:r w:rsidRPr="00190CF8">
        <w:rPr>
          <w:rFonts w:ascii="仿宋_GB2312" w:eastAsia="仿宋_GB2312" w:hAnsi="仿宋_GB2312" w:cs="仿宋_GB2312" w:hint="eastAsia"/>
          <w:kern w:val="0"/>
          <w:sz w:val="32"/>
          <w:szCs w:val="32"/>
        </w:rPr>
        <w:t>3. 在学期间必须参加学科、行业前沿讲座15次（场）以上。</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4. 积极开展与金融机构合作的人才培养模式。开设一些实操性较强的金融课程，如与上交所联合推出《期权交易理论与实务》、开设《行业前沿讲座》等，提高学生实务操作能力，取得显著成效。</w:t>
      </w:r>
    </w:p>
    <w:p w:rsidR="00190CF8" w:rsidRPr="00190CF8" w:rsidRDefault="00190CF8" w:rsidP="00190CF8">
      <w:pPr>
        <w:autoSpaceDE w:val="0"/>
        <w:autoSpaceDN w:val="0"/>
        <w:adjustRightInd w:val="0"/>
        <w:spacing w:line="300" w:lineRule="auto"/>
        <w:ind w:firstLineChars="200" w:firstLine="643"/>
        <w:jc w:val="left"/>
        <w:rPr>
          <w:rFonts w:ascii="楷体_GB2312" w:eastAsia="楷体_GB2312" w:hAnsi="楷体_GB2312" w:cs="楷体_GB2312"/>
          <w:b/>
          <w:bCs/>
          <w:kern w:val="0"/>
          <w:sz w:val="32"/>
          <w:szCs w:val="32"/>
        </w:rPr>
      </w:pPr>
      <w:r w:rsidRPr="00190CF8">
        <w:rPr>
          <w:rFonts w:ascii="楷体_GB2312" w:eastAsia="楷体_GB2312" w:hAnsi="楷体_GB2312" w:cs="楷体_GB2312" w:hint="eastAsia"/>
          <w:b/>
          <w:bCs/>
          <w:kern w:val="0"/>
          <w:sz w:val="32"/>
          <w:szCs w:val="32"/>
        </w:rPr>
        <w:t>（四）课程设置</w:t>
      </w:r>
    </w:p>
    <w:p w:rsidR="00190CF8" w:rsidRPr="00190CF8" w:rsidRDefault="00190CF8" w:rsidP="00190CF8">
      <w:pPr>
        <w:numPr>
          <w:ilvl w:val="0"/>
          <w:numId w:val="1"/>
        </w:num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本学位开设的核心课程如下：专业学位课主要有《投资学》（主讲老师：时旭辉）、《金融衍生工具》（主讲教师：欧阳若澜）、《金融理论与政策》（主讲教师：林智韬、王玮）、《公司金融》（主讲教师：王江）、《财务报表分析》（主讲教师：李艳虹）。非学位课包括《国家金融学》（主讲教师：刘沛、陈云贤）、《量化投资理论与策略》（主讲教师：陈创练）、《固定收益证券分析》（主讲教师：唐弢、肖妮）、《金融计量学》（主讲教师：朱东明）等。根据专业学位教育特点，开设《企业并购与重组案例》《金融危机管理案例》（主讲教师：沈军）等案例教学课程。开设《行业前沿讲座》《金融热点与前沿问题》等专题讲座，以了解行业发展的最新动态。</w:t>
      </w:r>
    </w:p>
    <w:p w:rsidR="00190CF8" w:rsidRPr="00190CF8" w:rsidRDefault="00190CF8" w:rsidP="00190CF8">
      <w:pPr>
        <w:numPr>
          <w:ilvl w:val="0"/>
          <w:numId w:val="2"/>
        </w:num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专业学位课程体系设置的实践性及前沿性。从行业发展需求出发，在专业学位选修课程中开设金融科技、量化投资、房地产金融等前沿专业课；同时增加专业技术课程的比重，在课程安排、教学实践等方面体现“专业性”与“实践性”的结合。尤其是广东省前副省长、广发证券创始人陈云贤教授为金融专硕学生开设《国家金融学》课程，极大地拓宽了学生的视野，提升了学生的认知水平。</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3. 探索课程教学形式的多样化。加强对案例分析、实务模拟、专题研讨等多种形式的教学方式的探索与实践。在课堂教学中，突出学生的参与和老师与学生之间的相互交流与沟通，共享师生已有的实践和经验，重点在于相关理论和实践的结合。案例分析结合课程教学进行，有利于理论与实践的结合，培养学生的团队精神和合作意识。前沿讲座提升学生的知识面，培养学生的开拓精神和研究视野。定期邀请具有丰富管理经验的金融界高管来校讲座等，解读最新政策及热点问题、直面前沿实务、分享最新政策报告等。</w:t>
      </w:r>
    </w:p>
    <w:p w:rsidR="00190CF8" w:rsidRPr="00190CF8" w:rsidRDefault="00190CF8" w:rsidP="00190CF8">
      <w:pPr>
        <w:autoSpaceDE w:val="0"/>
        <w:autoSpaceDN w:val="0"/>
        <w:adjustRightInd w:val="0"/>
        <w:spacing w:line="300" w:lineRule="auto"/>
        <w:ind w:firstLineChars="200" w:firstLine="643"/>
        <w:jc w:val="left"/>
        <w:rPr>
          <w:rFonts w:ascii="楷体_GB2312" w:eastAsia="楷体_GB2312" w:hAnsi="楷体_GB2312" w:cs="楷体_GB2312"/>
          <w:b/>
          <w:bCs/>
          <w:kern w:val="0"/>
          <w:sz w:val="32"/>
          <w:szCs w:val="32"/>
        </w:rPr>
      </w:pPr>
      <w:r w:rsidRPr="00190CF8">
        <w:rPr>
          <w:rFonts w:ascii="楷体_GB2312" w:eastAsia="楷体_GB2312" w:hAnsi="楷体_GB2312" w:cs="楷体_GB2312" w:hint="eastAsia"/>
          <w:b/>
          <w:bCs/>
          <w:kern w:val="0"/>
          <w:sz w:val="32"/>
          <w:szCs w:val="32"/>
        </w:rPr>
        <w:t>（五）案例教学使用与开发</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本专业学位根据所构建的课程体系与教学模式，持续关注和补充与经济金融紧密联系的发展前沿和实践热点问题，增加案例编写，积极参加全国金融硕士教学案例大赛，连续5年获得大赛优秀案例奖（8篇），其中2021年有1篇获奖。所编写案例均纳入教学内容体系，实现案例教学在所有课程中全覆盖。当前，各门课程共使用约60个案例进行课程教学，课时数占总课时数的25%以上。具体做法如下：</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1. 在案例教学上投入大量的资源。聘请金融领域有实践经验的专家共同编写专业技术课程的教学大纲、共同开发金融实践教学案例，建设金融专业学位教育专用金融实验室和多媒体教学设施等。</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2. 构建了符合培养需要的教学模式。由授课老师结合案例提出课程任务，学生组成学习小组查找文献，以报告形式在课堂展示和讨论，任课教师进行点评并讲授其中蕴含的理论知识，激发学生自发学习的兴趣和提高团队协作的能力。</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3. 加大对案例编写的激励与支持。深化奖教奖学制度改革，着重加大对案例开发建设中成效突出的教师与学生的表彰，实现了评优及入库案例数量与比重逐年增长。</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4. 定期邀请国内外著名学者及校外导师做行业专题报告，以提高学生对金融前沿知识的把握能力和对金融行业发展现状的认知。</w:t>
      </w:r>
    </w:p>
    <w:p w:rsidR="00190CF8" w:rsidRPr="00190CF8" w:rsidRDefault="00190CF8" w:rsidP="00190CF8">
      <w:pPr>
        <w:autoSpaceDE w:val="0"/>
        <w:autoSpaceDN w:val="0"/>
        <w:adjustRightInd w:val="0"/>
        <w:spacing w:line="300" w:lineRule="auto"/>
        <w:ind w:firstLineChars="200" w:firstLine="643"/>
        <w:jc w:val="left"/>
        <w:rPr>
          <w:rFonts w:ascii="楷体_GB2312" w:eastAsia="楷体_GB2312" w:hAnsi="楷体_GB2312" w:cs="楷体_GB2312"/>
          <w:b/>
          <w:bCs/>
          <w:kern w:val="0"/>
          <w:sz w:val="32"/>
          <w:szCs w:val="32"/>
        </w:rPr>
      </w:pPr>
      <w:r w:rsidRPr="00190CF8">
        <w:rPr>
          <w:rFonts w:ascii="楷体_GB2312" w:eastAsia="楷体_GB2312" w:hAnsi="楷体_GB2312" w:cs="楷体_GB2312" w:hint="eastAsia"/>
          <w:b/>
          <w:bCs/>
          <w:kern w:val="0"/>
          <w:sz w:val="32"/>
          <w:szCs w:val="32"/>
        </w:rPr>
        <w:t>（六）专业实践</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本专业与金融部门密切合作，积极开展产学研合作，与多家机构建立校外实践基地，实现校外导师与实习项目对接。</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1. 每位金融专业硕士均参加课外实践与实习，专业实践主要依托实践教学基地进行，同时鼓励其他多种形式的专业实践。现已建成专业实践教学基地9个，近年来已有几百名金融专业硕士到实践基地依托单位进行实习工作，显著提升了学生的行业实践能力。专业实践结合大湾区金融发展需求，充分利用香港、澳门的区位优势和资源，为金融专业硕士的创新创业能力培养提供实践空间。</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2. 实践基地对管理人员实施目标责任制，强化实践导师的遴选和更新；对学生实施目标管理，以学生实习报告完成的质量及解决实际问题能力的提升为目标，全程考核管理。</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3. 每个实践基地都配备高水平的课外实践导师，具体负责学生的实践内容设计、实践过程指导和实习报告的撰写，并做出科学评价和书面鉴定。</w:t>
      </w:r>
    </w:p>
    <w:p w:rsidR="00190CF8" w:rsidRPr="00190CF8" w:rsidRDefault="00190CF8" w:rsidP="00190CF8">
      <w:pPr>
        <w:autoSpaceDE w:val="0"/>
        <w:autoSpaceDN w:val="0"/>
        <w:adjustRightInd w:val="0"/>
        <w:spacing w:line="300" w:lineRule="auto"/>
        <w:ind w:firstLineChars="200" w:firstLine="640"/>
        <w:jc w:val="left"/>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4. 实践基地涵盖金融各业态，学生可以通过参与依托单位的实习工作、合作项目以及定期实践教学讲座、培训等方式进行实践，充分满足学生对实践教学的多方面需求。</w:t>
      </w:r>
    </w:p>
    <w:p w:rsidR="00190CF8" w:rsidRPr="00190CF8" w:rsidRDefault="00190CF8" w:rsidP="00190CF8">
      <w:pPr>
        <w:spacing w:line="300" w:lineRule="auto"/>
        <w:ind w:firstLineChars="200" w:firstLine="640"/>
        <w:rPr>
          <w:rFonts w:ascii="仿宋_GB2312" w:eastAsia="仿宋_GB2312" w:hAnsi="仿宋_GB2312" w:cs="仿宋_GB2312"/>
          <w:sz w:val="32"/>
          <w:szCs w:val="32"/>
        </w:rPr>
      </w:pPr>
      <w:r w:rsidRPr="00190CF8">
        <w:rPr>
          <w:rFonts w:ascii="仿宋_GB2312" w:eastAsia="仿宋_GB2312" w:hAnsi="仿宋_GB2312" w:cs="仿宋_GB2312" w:hint="eastAsia"/>
          <w:kern w:val="0"/>
          <w:sz w:val="32"/>
          <w:szCs w:val="32"/>
        </w:rPr>
        <w:t>5. 学生需按照培养的实践教学要求及行业规范要求参与实习，撰写规范实习报告，并作为专业硕士实践考核部分的重要依据。</w:t>
      </w:r>
    </w:p>
    <w:p w:rsidR="00190CF8" w:rsidRPr="00190CF8" w:rsidRDefault="00190CF8" w:rsidP="00190CF8">
      <w:pPr>
        <w:autoSpaceDE w:val="0"/>
        <w:autoSpaceDN w:val="0"/>
        <w:adjustRightInd w:val="0"/>
        <w:spacing w:line="300" w:lineRule="auto"/>
        <w:ind w:firstLineChars="200" w:firstLine="643"/>
        <w:jc w:val="left"/>
        <w:rPr>
          <w:rFonts w:ascii="楷体_GB2312" w:eastAsia="楷体_GB2312" w:hAnsi="楷体_GB2312" w:cs="楷体_GB2312"/>
          <w:b/>
          <w:bCs/>
          <w:kern w:val="0"/>
          <w:sz w:val="32"/>
          <w:szCs w:val="32"/>
        </w:rPr>
      </w:pPr>
      <w:r w:rsidRPr="00190CF8">
        <w:rPr>
          <w:rFonts w:ascii="楷体_GB2312" w:eastAsia="楷体_GB2312" w:hAnsi="楷体_GB2312" w:cs="楷体_GB2312" w:hint="eastAsia"/>
          <w:b/>
          <w:bCs/>
          <w:kern w:val="0"/>
          <w:sz w:val="32"/>
          <w:szCs w:val="32"/>
        </w:rPr>
        <w:t>（七）人才培养成果</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2016年至今，本专业培养出了践行习近平总书记关于青年工作的重要思想和党的十八大精神，具有正确金融道德价值观，扎实金融基础，娴熟实践能力，以及富有创新精神的一大批优秀金融学人才，应用性成果丰硕。</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1. 积极参与社会服务，效果显著。近五年来，本专业学位学生参与了《广东农村合作金融发展规划》《广东省金融高新技术服务区发展规划》《开放蓝本-自由贸易试验区》等多个地方政府金融发展规划工作，受到广泛好评。</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highlight w:val="yellow"/>
        </w:rPr>
      </w:pPr>
      <w:r w:rsidRPr="00190CF8">
        <w:rPr>
          <w:rFonts w:ascii="仿宋_GB2312" w:eastAsia="仿宋_GB2312" w:hAnsi="仿宋_GB2312" w:cs="仿宋_GB2312" w:hint="eastAsia"/>
          <w:kern w:val="0"/>
          <w:sz w:val="32"/>
          <w:szCs w:val="32"/>
        </w:rPr>
        <w:t>2. 踊跃投身学术活动，成果丰硕。本专业学位学生连续5年在全国金融硕士教学案例大赛和全国金融专业学位硕士学位论文大赛中斩获殊荣，目前共计23位学生获得八项优秀案例奖，5位学生获得三项优秀论文奖（包括提名奖1位），成果数量与质量均位居同类高校前列，其中2021年共计2篇。截至2021年底，已有8位学生以第一作者或通讯作者身份在SSCI和CSSCI等国内外核心期刊上发表学术论文11篇，获攀登计划广东省大学生科技创新培育专项计划项目资助1项。</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3. 刻苦打磨专业技能，屡获佳绩。近五年本专业学位有10位学生在全国性竞赛中获得国家级以上奖项6项，省级奖项2项；16位学生获得国家奖学金；137位学生获得了会计、基金、期货、银行、证券等各类资格证书，41位学生通过了CFA、CPA、FRM等资格考试的不同级别。</w:t>
      </w:r>
    </w:p>
    <w:p w:rsidR="00190CF8" w:rsidRPr="00190CF8" w:rsidRDefault="00190CF8" w:rsidP="00190CF8">
      <w:pPr>
        <w:autoSpaceDE w:val="0"/>
        <w:autoSpaceDN w:val="0"/>
        <w:adjustRightInd w:val="0"/>
        <w:spacing w:line="300" w:lineRule="auto"/>
        <w:ind w:firstLineChars="200" w:firstLine="643"/>
        <w:jc w:val="left"/>
        <w:rPr>
          <w:rFonts w:ascii="楷体_GB2312" w:eastAsia="楷体_GB2312" w:hAnsi="楷体_GB2312" w:cs="楷体_GB2312"/>
          <w:b/>
          <w:bCs/>
          <w:kern w:val="0"/>
          <w:sz w:val="32"/>
          <w:szCs w:val="32"/>
        </w:rPr>
      </w:pPr>
      <w:r w:rsidRPr="00190CF8">
        <w:rPr>
          <w:rFonts w:ascii="楷体_GB2312" w:eastAsia="楷体_GB2312" w:hAnsi="楷体_GB2312" w:cs="楷体_GB2312" w:hint="eastAsia"/>
          <w:b/>
          <w:bCs/>
          <w:kern w:val="0"/>
          <w:sz w:val="32"/>
          <w:szCs w:val="32"/>
        </w:rPr>
        <w:t>（八）就业发展</w:t>
      </w:r>
    </w:p>
    <w:p w:rsidR="00190CF8" w:rsidRPr="00190CF8" w:rsidRDefault="00190CF8" w:rsidP="00190CF8">
      <w:pPr>
        <w:autoSpaceDE w:val="0"/>
        <w:autoSpaceDN w:val="0"/>
        <w:adjustRightInd w:val="0"/>
        <w:spacing w:line="300" w:lineRule="auto"/>
        <w:ind w:firstLineChars="200" w:firstLine="640"/>
        <w:jc w:val="left"/>
        <w:rPr>
          <w:rFonts w:ascii="楷体_GB2312" w:eastAsia="楷体_GB2312" w:hAnsi="楷体_GB2312" w:cs="楷体_GB2312"/>
          <w:b/>
          <w:bCs/>
          <w:kern w:val="0"/>
          <w:sz w:val="32"/>
          <w:szCs w:val="32"/>
        </w:rPr>
      </w:pPr>
      <w:r w:rsidRPr="00190CF8">
        <w:rPr>
          <w:rFonts w:ascii="仿宋_GB2312" w:eastAsia="仿宋_GB2312" w:hAnsi="仿宋_GB2312" w:cs="仿宋_GB2312" w:hint="eastAsia"/>
          <w:kern w:val="0"/>
          <w:sz w:val="32"/>
          <w:szCs w:val="32"/>
        </w:rPr>
        <w:t>本专业培养质量高。2021年共毕业115人，初次就业率98.26%，就业单位分布为党政机关9.73%，事业单位9.73%，国有企业48.67%，民营企业27.83%，三资企业2.65%。</w:t>
      </w:r>
    </w:p>
    <w:p w:rsidR="00190CF8" w:rsidRPr="00190CF8" w:rsidRDefault="00190CF8" w:rsidP="00190CF8">
      <w:pPr>
        <w:autoSpaceDE w:val="0"/>
        <w:autoSpaceDN w:val="0"/>
        <w:adjustRightInd w:val="0"/>
        <w:spacing w:line="300" w:lineRule="auto"/>
        <w:ind w:firstLineChars="200" w:firstLine="643"/>
        <w:jc w:val="left"/>
        <w:rPr>
          <w:rFonts w:ascii="楷体_GB2312" w:eastAsia="楷体_GB2312" w:hAnsi="楷体_GB2312" w:cs="楷体_GB2312"/>
          <w:b/>
          <w:bCs/>
          <w:kern w:val="0"/>
          <w:sz w:val="32"/>
          <w:szCs w:val="32"/>
        </w:rPr>
      </w:pPr>
      <w:r w:rsidRPr="00190CF8">
        <w:rPr>
          <w:rFonts w:ascii="黑体" w:eastAsia="黑体" w:hAnsi="黑体" w:cs="黑体" w:hint="eastAsia"/>
          <w:b/>
          <w:bCs/>
          <w:sz w:val="32"/>
          <w:szCs w:val="24"/>
        </w:rPr>
        <w:t>四、服务贡献</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本专业全方位参与国家金融发展特别是广东金融强省与粤港澳大湾区金融发展建设。为服务国家和地区经济发展，繁荣和发展社会主义文化做出积极贡献。</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1. 以高端平台为依托，为金融发展提供政策支持。发挥金融学国家重点学科优势，为广东及华南地区提供金融智力与人才支撑。本专业在广东省政府全力支持下，成立暨南大学南方高等金融研究院，打造具有全国影响力的金融智库。在评估期内承担世界银行金融局、中国人民银行研究局等委托项目30多项。同时，积极参与制定地方金融发展规划与政策，包括粤港澳大湾区绿色金融标准、广东省金融业发展规划等，共有 50 多项研究报告并被采纳，为地方金融发展规划与政策提供了重要支撑。在新冠疫情背景下，提出金融抗疫建议，为新形势下金融助力复工复产提供智力支持。</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2. 以决策咨询专家为通道，直接参与决策咨询活动。本专业点导师担任中国人民银行货币政策咨询专家、广东省政府参事等。多项决策成果获得省委、省政府领导的批示，并成为地方政府决策的重要依据。</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3. 以培养人才为支撑，为国家各层次发展贡献力量。本专业点及其依托的学科平台为全国培养了众多金融人才。优秀校友包括中国人民银行副行长、中国建设银行行长、中国银监会副主席等。广东省金融系统约三成中高层干部、澳门约四成金融从业人员毕业于暨南大学金融专业，为大湾区金融发展做出突出贡献。</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4. 以产学研合作为纽带，为金融机构注入发展新动能。本专业与人民银行广州结算中心、广发银行等建立博士后工作站与联合培养平台。</w:t>
      </w:r>
    </w:p>
    <w:p w:rsidR="00190CF8" w:rsidRPr="00190CF8" w:rsidRDefault="00190CF8" w:rsidP="00190CF8">
      <w:pPr>
        <w:widowControl/>
        <w:spacing w:line="300" w:lineRule="auto"/>
        <w:textAlignment w:val="baseline"/>
        <w:rPr>
          <w:rFonts w:ascii="黑体" w:eastAsia="黑体" w:hAnsi="黑体" w:cs="黑体"/>
          <w:sz w:val="32"/>
          <w:szCs w:val="32"/>
        </w:rPr>
      </w:pPr>
      <w:r w:rsidRPr="00190CF8">
        <w:rPr>
          <w:rFonts w:ascii="黑体" w:eastAsia="黑体" w:hAnsi="黑体" w:cs="黑体" w:hint="eastAsia"/>
          <w:sz w:val="32"/>
          <w:szCs w:val="32"/>
        </w:rPr>
        <w:t>五、存在的问题</w:t>
      </w:r>
    </w:p>
    <w:p w:rsidR="00190CF8" w:rsidRPr="00190CF8" w:rsidRDefault="00190CF8" w:rsidP="00190CF8">
      <w:pPr>
        <w:autoSpaceDE w:val="0"/>
        <w:autoSpaceDN w:val="0"/>
        <w:adjustRightInd w:val="0"/>
        <w:spacing w:line="300" w:lineRule="auto"/>
        <w:ind w:firstLineChars="200" w:firstLine="643"/>
        <w:jc w:val="left"/>
        <w:rPr>
          <w:rFonts w:ascii="楷体_GB2312" w:eastAsia="楷体_GB2312" w:hAnsi="楷体_GB2312" w:cs="楷体_GB2312"/>
          <w:b/>
          <w:bCs/>
          <w:kern w:val="0"/>
          <w:sz w:val="32"/>
          <w:szCs w:val="24"/>
        </w:rPr>
      </w:pPr>
      <w:r w:rsidRPr="00190CF8">
        <w:rPr>
          <w:rFonts w:ascii="楷体_GB2312" w:eastAsia="楷体_GB2312" w:hAnsi="楷体_GB2312" w:cs="楷体_GB2312" w:hint="eastAsia"/>
          <w:b/>
          <w:bCs/>
          <w:kern w:val="0"/>
          <w:sz w:val="32"/>
          <w:szCs w:val="32"/>
        </w:rPr>
        <w:t>（一）学位论文情况</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本专业学位点非常注重毕业论文质量，除了专门制定开题、中期报告、预答辩和正式答辩的管理办法外，还实行毕业论文末位监控制度，淘汰每组答辩末位的学生。学生能认真撰写学位论文，论文选题的范围广泛，包括宏观金融、投资、金融工程、公司金融、金融机构、保险和金融科技等，覆盖金融学的所有领域。论文形式灵活，包括研究设计、案例分析等，能协助解决金融政策制定、金融市场改革、金融机构监管、金融产品和衍生品的创新与定价、风险控制和管理、投资策略、企业投融决策、公司治理等实际存在的金融实践问题，对金融市场、金融机构和企业都有较大的借鉴价值和广阔的应用前景。</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本专业论文抽检100%合格，高质量的毕业论文受到同行和业界的高度评价。本专业执行优中选优的原则，对优秀毕业论文的评选严格把关，每年控制优秀毕业论文的数量不超过3篇。近5年共评选出14篇优秀毕业论文，其中4篇论文《投资者情绪综合指数与股指间关系研究》《资本监管与货币政策对银行风险承担的影响研究——基于我国商业银行异质性的视角》《我国A股市场系统性风险的网络测度研究——基于HD-TVP-VAR模型的细分行业板块数据》和《单边看涨鲨鱼鳍结构化产品分析与优化设计——以交通银行“得利宝</w:t>
      </w:r>
      <w:r w:rsidRPr="00190CF8">
        <w:rPr>
          <w:rFonts w:ascii="微软雅黑" w:eastAsia="微软雅黑" w:hAnsi="微软雅黑" w:cs="微软雅黑" w:hint="eastAsia"/>
          <w:kern w:val="0"/>
          <w:sz w:val="32"/>
          <w:szCs w:val="32"/>
        </w:rPr>
        <w:t>·</w:t>
      </w:r>
      <w:r w:rsidRPr="00190CF8">
        <w:rPr>
          <w:rFonts w:ascii="仿宋_GB2312" w:eastAsia="仿宋_GB2312" w:hAnsi="仿宋_GB2312" w:cs="仿宋_GB2312" w:hint="eastAsia"/>
          <w:kern w:val="0"/>
          <w:sz w:val="32"/>
          <w:szCs w:val="32"/>
        </w:rPr>
        <w:t>慧理财”产品为例》获全国金融专硕教指委优秀毕业论文奖。1篇论文获全国金融专硕教指委优秀毕业论文提名奖（《制度环境对中国商业银行效率的空间溢出效应研究》）。</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目前存在的问题主要为：学位论文中案例分析、产品设计与金融实践问题解决方案、调研报告或基于实际问题分析的政策建议报告等实践性论文的比重较低。应进一步强化本专业点师生在实践性论文撰写方面的培训，并在选题、素材及写作方面予以支持，以更好地契合专业硕士的培养目标。</w:t>
      </w:r>
    </w:p>
    <w:p w:rsidR="00190CF8" w:rsidRPr="00190CF8" w:rsidRDefault="00190CF8" w:rsidP="00190CF8">
      <w:pPr>
        <w:autoSpaceDE w:val="0"/>
        <w:autoSpaceDN w:val="0"/>
        <w:adjustRightInd w:val="0"/>
        <w:spacing w:line="300" w:lineRule="auto"/>
        <w:ind w:firstLineChars="200" w:firstLine="643"/>
        <w:jc w:val="left"/>
        <w:rPr>
          <w:rFonts w:ascii="楷体_GB2312" w:eastAsia="楷体_GB2312" w:hAnsi="楷体_GB2312" w:cs="楷体_GB2312"/>
          <w:b/>
          <w:bCs/>
          <w:kern w:val="0"/>
          <w:sz w:val="32"/>
          <w:szCs w:val="32"/>
        </w:rPr>
      </w:pPr>
      <w:r w:rsidRPr="00190CF8">
        <w:rPr>
          <w:rFonts w:ascii="楷体_GB2312" w:eastAsia="楷体_GB2312" w:hAnsi="楷体_GB2312" w:cs="楷体_GB2312" w:hint="eastAsia"/>
          <w:b/>
          <w:bCs/>
          <w:kern w:val="0"/>
          <w:sz w:val="32"/>
          <w:szCs w:val="32"/>
        </w:rPr>
        <w:t>（二）学科自我评估</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本专业学位点搭建高层次人才培养的优势平台和完整体系，围绕课程设置、师资队伍、教学改革和管理、实践教学、双导师制、条件建设等方面进行建设。本专业不断加强师资队伍建设，强化教学科研支撑，注重教学内容、教学方法和教学管理改革，重视校外实践培养，依托金融学国家重点学科、应用经济学一级学科博士点及多个省市重点研究基地，打造具有自身特色的金融专业硕士培养计划，已成为华南地区一流的高端金融人才培养基地。同时也是港澳台地区高层次金融人才培养重镇，在华南地区乃至全国具有重要影响。</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目前存在的主要问题有：专业学位教育实践教学模式有待进一步探索；实践型教师的聘任、考核及激励机制有待完善；与金融专业知识相关的学生活动有待加强；国际化水平有待进一步提高；在育人过程中的侨校特色体现有待拓展。</w:t>
      </w:r>
    </w:p>
    <w:p w:rsidR="00190CF8" w:rsidRPr="00190CF8" w:rsidRDefault="00190CF8" w:rsidP="00190CF8">
      <w:pPr>
        <w:widowControl/>
        <w:spacing w:line="300" w:lineRule="auto"/>
        <w:textAlignment w:val="baseline"/>
        <w:rPr>
          <w:rFonts w:ascii="黑体" w:eastAsia="黑体" w:hAnsi="黑体" w:cs="黑体"/>
          <w:sz w:val="32"/>
          <w:szCs w:val="32"/>
        </w:rPr>
      </w:pPr>
      <w:r w:rsidRPr="00190CF8">
        <w:rPr>
          <w:rFonts w:ascii="黑体" w:eastAsia="黑体" w:hAnsi="黑体" w:cs="黑体" w:hint="eastAsia"/>
          <w:sz w:val="32"/>
          <w:szCs w:val="32"/>
        </w:rPr>
        <w:t>六、下一年建设计划</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针对已有问题，具体改进措施如下：</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根据社会需求动态调整教学模式和课程设计。科学合理地规划金融专业硕士课程体系，根据实践部门需求优化专业课程。同时加强教材建设，及时补充该领域最新的发展情况，保障教学内容的更新，形成与金融专业课程体系动态发展相适应的较为完善的教材体系。此外，继续加大案例教学的比重，持续关注和补充与经济金融紧密联系的发展前沿和实践热点问题，并将其纳入教学内容，反映经济金融发展的最新成果和变化，加强理论与实践的联系，让教学内容与社会实际接轨。</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完善实践型教师的聘任、考核与激励机制。加快引进实践型教学人才，不断完善已有的研究方向和科研团队，打造更多优秀的实践教学团队；巩固以教授和博士为主的科研团队和实践经验丰富的应用教学队伍。具体包括：建立校外导师责权利相一致的激励制度，明确其在培养过程中的职责，提高参与指导学生工作的积极性；完善选拔、考核、管理和监督机制，避免导师聘用的随意性和盲目性，增强行为约束力；构建校内外导师联系与沟通机制，有效解决专业硕士的社会实践与就业问题。</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创新实践教学模式。加大对实践教学基地的投入，建设目标清晰、管理机制健全的实践教学基地。可采取与企业、金融机构或经济管理部门联合申报研究生工作站、合作开展课题研究的方式构建实践基地，培养和提高学生分析、解决实际问题的能力。加强与企业、金融机构战略合作，签订专业硕士培养的专项合作协议，明确学校、企业或金融机构的权责利，形成实践基地完善的管理机制和考核体系，推动研究生实践基地的科学化管理，保障基地长期稳定有效运行。同时增加对案例库建设投入，规范案例的选择标准，并及时更新调整，形成符合专业硕士案例教学需要的案例库。</w:t>
      </w:r>
    </w:p>
    <w:p w:rsidR="00190CF8" w:rsidRPr="00190CF8" w:rsidRDefault="00190CF8" w:rsidP="00190CF8">
      <w:pPr>
        <w:spacing w:line="300" w:lineRule="auto"/>
        <w:ind w:firstLineChars="200" w:firstLine="640"/>
        <w:rPr>
          <w:rFonts w:ascii="仿宋_GB2312" w:eastAsia="仿宋_GB2312" w:hAnsi="仿宋_GB2312" w:cs="仿宋_GB2312"/>
          <w:kern w:val="0"/>
          <w:sz w:val="32"/>
          <w:szCs w:val="32"/>
        </w:rPr>
      </w:pPr>
      <w:r w:rsidRPr="00190CF8">
        <w:rPr>
          <w:rFonts w:ascii="仿宋_GB2312" w:eastAsia="仿宋_GB2312" w:hAnsi="仿宋_GB2312" w:cs="仿宋_GB2312" w:hint="eastAsia"/>
          <w:kern w:val="0"/>
          <w:sz w:val="32"/>
          <w:szCs w:val="32"/>
        </w:rPr>
        <w:t>提高国际化办学水平。为了适应经济全球化的迅速发展对人才培养和高等教育国际化的要求，未来将逐步提高办学的国际化水平。通过合作办学，积极引进国外优质教育资源，积极开展多种形式的交换生项目和学位联合培养项目。争取为本项目引入欧美金融专业排名靠前的大学进行合作，提供丰富多彩的海外学习和国际交流机会，让学生在更高层面、更广泛领域进行交流与学习。另外，暨南大学作为侨校，可突出对港澳台学生思想政治方面的教育。</w:t>
      </w:r>
    </w:p>
    <w:sectPr w:rsidR="00190CF8" w:rsidRPr="00190CF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altName w:val="微软雅黑"/>
    <w:charset w:val="86"/>
    <w:family w:val="script"/>
    <w:pitch w:val="default"/>
    <w:sig w:usb0="00000000" w:usb1="00000000" w:usb2="00000010" w:usb3="00000000" w:csb0="00040000" w:csb1="00000000"/>
  </w:font>
  <w:font w:name="方正小标宋简体">
    <w:altName w:val="Arial Unicode MS"/>
    <w:charset w:val="86"/>
    <w:family w:val="auto"/>
    <w:pitch w:val="default"/>
    <w:sig w:usb0="00000000" w:usb1="080E0000" w:usb2="00000000" w:usb3="00000000" w:csb0="00040000"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E6520E"/>
    <w:multiLevelType w:val="singleLevel"/>
    <w:tmpl w:val="99E6520E"/>
    <w:lvl w:ilvl="0">
      <w:start w:val="2"/>
      <w:numFmt w:val="decimal"/>
      <w:suff w:val="space"/>
      <w:lvlText w:val="%1."/>
      <w:lvlJc w:val="left"/>
      <w:pPr>
        <w:ind w:left="0" w:firstLine="0"/>
      </w:pPr>
    </w:lvl>
  </w:abstractNum>
  <w:abstractNum w:abstractNumId="1">
    <w:nsid w:val="152D8229"/>
    <w:multiLevelType w:val="singleLevel"/>
    <w:tmpl w:val="152D8229"/>
    <w:lvl w:ilvl="0">
      <w:start w:val="1"/>
      <w:numFmt w:val="decimal"/>
      <w:suff w:val="space"/>
      <w:lvlText w:val="%1."/>
      <w:lvlJc w:val="left"/>
      <w:pPr>
        <w:ind w:left="0" w:firstLine="0"/>
      </w:pPr>
    </w:lvl>
  </w:abstractNum>
  <w:num w:numId="1">
    <w:abstractNumId w:val="1"/>
    <w:lvlOverride w:ilvl="0">
      <w:startOverride w:val="1"/>
    </w:lvlOverride>
  </w:num>
  <w:num w:numId="2">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bordersDoNotSurroundHeader/>
  <w:bordersDoNotSurroundFooter/>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A97"/>
    <w:rsid w:val="00190CF8"/>
    <w:rsid w:val="002A0C0D"/>
    <w:rsid w:val="002B796C"/>
    <w:rsid w:val="004A0B51"/>
    <w:rsid w:val="00DA22E6"/>
    <w:rsid w:val="00DF5A97"/>
    <w:rsid w:val="00EA5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1657</Words>
  <Characters>9447</Characters>
  <Application>Microsoft Office Word</Application>
  <DocSecurity>0</DocSecurity>
  <Lines>78</Lines>
  <Paragraphs>22</Paragraphs>
  <ScaleCrop>false</ScaleCrop>
  <Company/>
  <LinksUpToDate>false</LinksUpToDate>
  <CharactersWithSpaces>11082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周丽华</dc:creator>
  <cp:lastModifiedBy>周丽华</cp:lastModifiedBy>
  <cp:revision>2</cp:revision>
  <dcterms:created xsi:type="dcterms:W3CDTF">2025-03-12T08:32:00Z</dcterms:created>
  <dcterms:modified xsi:type="dcterms:W3CDTF">2025-03-12T08:32:00Z</dcterms:modified>
</cp:coreProperties>
</file>