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729" w:rsidRDefault="008E0729" w:rsidP="00BB2389">
      <w:pPr>
        <w:spacing w:after="156" w:line="300" w:lineRule="auto"/>
        <w:jc w:val="center"/>
        <w:textAlignment w:val="baseline"/>
        <w:rPr>
          <w:rFonts w:ascii="Times New Roman" w:eastAsia="方正小标宋简体" w:hAnsi="Times New Roman" w:cs="Times New Roman"/>
          <w:bCs/>
          <w:sz w:val="44"/>
          <w:szCs w:val="44"/>
        </w:rPr>
      </w:pPr>
      <w:bookmarkStart w:id="0" w:name="_GoBack"/>
      <w:bookmarkEnd w:id="0"/>
      <w:r w:rsidRPr="008E0729">
        <w:rPr>
          <w:rFonts w:ascii="Times New Roman" w:eastAsia="方正小标宋简体" w:hAnsi="Times New Roman" w:cs="Times New Roman" w:hint="eastAsia"/>
          <w:bCs/>
          <w:sz w:val="44"/>
          <w:szCs w:val="44"/>
        </w:rPr>
        <w:t>学位授权点质量建设年度报告</w:t>
      </w:r>
    </w:p>
    <w:p w:rsidR="00BB2389" w:rsidRPr="00BB2389" w:rsidRDefault="00BB2389" w:rsidP="00BB2389">
      <w:pPr>
        <w:spacing w:after="156" w:line="300" w:lineRule="auto"/>
        <w:jc w:val="center"/>
        <w:textAlignment w:val="baseline"/>
        <w:rPr>
          <w:rFonts w:ascii="Times New Roman" w:eastAsia="方正小标宋简体" w:hAnsi="Times New Roman" w:cs="Times New Roman"/>
          <w:bCs/>
          <w:sz w:val="44"/>
          <w:szCs w:val="44"/>
        </w:rPr>
      </w:pPr>
      <w:r w:rsidRPr="00BB2389">
        <w:rPr>
          <w:rFonts w:ascii="Times New Roman" w:eastAsia="方正小标宋简体" w:hAnsi="Times New Roman" w:cs="Times New Roman"/>
          <w:bCs/>
          <w:sz w:val="44"/>
          <w:szCs w:val="44"/>
        </w:rPr>
        <w:t>（</w:t>
      </w:r>
      <w:r w:rsidRPr="00BB2389">
        <w:rPr>
          <w:rFonts w:ascii="Times New Roman" w:eastAsia="方正小标宋简体" w:hAnsi="Times New Roman" w:cs="Times New Roman"/>
          <w:bCs/>
          <w:sz w:val="44"/>
          <w:szCs w:val="44"/>
        </w:rPr>
        <w:t>2023</w:t>
      </w:r>
      <w:r w:rsidRPr="00BB2389">
        <w:rPr>
          <w:rFonts w:ascii="Times New Roman" w:eastAsia="方正小标宋简体" w:hAnsi="Times New Roman" w:cs="Times New Roman" w:hint="eastAsia"/>
          <w:bCs/>
          <w:sz w:val="44"/>
          <w:szCs w:val="44"/>
        </w:rPr>
        <w:t>年</w:t>
      </w:r>
      <w:r w:rsidRPr="00BB2389">
        <w:rPr>
          <w:rFonts w:ascii="Times New Roman" w:eastAsia="方正小标宋简体" w:hAnsi="Times New Roman" w:cs="Times New Roman"/>
          <w:bCs/>
          <w:sz w:val="44"/>
          <w:szCs w:val="44"/>
        </w:rPr>
        <w:t>）</w:t>
      </w:r>
    </w:p>
    <w:p w:rsidR="00BB2389" w:rsidRPr="00BB2389" w:rsidRDefault="00BB2389" w:rsidP="00BB2389">
      <w:pPr>
        <w:spacing w:after="156" w:line="300" w:lineRule="auto"/>
        <w:jc w:val="center"/>
        <w:textAlignment w:val="baseline"/>
        <w:rPr>
          <w:rFonts w:ascii="Times New Roman" w:eastAsia="方正小标宋简体" w:hAnsi="Times New Roman" w:cs="Times New Roman"/>
          <w:bCs/>
          <w:sz w:val="44"/>
          <w:szCs w:val="44"/>
        </w:rPr>
      </w:pPr>
    </w:p>
    <w:p w:rsidR="00BB2389" w:rsidRPr="00BB2389" w:rsidRDefault="00BB2389" w:rsidP="00BB2389">
      <w:pPr>
        <w:snapToGrid w:val="0"/>
        <w:spacing w:line="300" w:lineRule="auto"/>
        <w:jc w:val="center"/>
        <w:textAlignment w:val="baseline"/>
        <w:rPr>
          <w:rFonts w:ascii="Times New Roman" w:eastAsia="宋体" w:hAnsi="Times New Roman" w:cs="Times New Roman"/>
          <w:b/>
          <w:sz w:val="48"/>
          <w:szCs w:val="20"/>
        </w:rPr>
      </w:pPr>
    </w:p>
    <w:p w:rsidR="00BB2389" w:rsidRPr="00BB2389" w:rsidRDefault="00BB2389" w:rsidP="00BB2389">
      <w:pPr>
        <w:snapToGrid w:val="0"/>
        <w:spacing w:line="300" w:lineRule="auto"/>
        <w:jc w:val="center"/>
        <w:textAlignment w:val="baseline"/>
        <w:rPr>
          <w:rFonts w:ascii="Times New Roman" w:eastAsia="宋体" w:hAnsi="Times New Roman" w:cs="Times New Roman"/>
          <w:b/>
          <w:sz w:val="48"/>
          <w:szCs w:val="20"/>
        </w:rPr>
      </w:pPr>
    </w:p>
    <w:p w:rsidR="00BB2389" w:rsidRPr="00BB2389" w:rsidRDefault="00BB2389" w:rsidP="00BB2389">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BB2389" w:rsidRPr="00BB2389" w:rsidTr="00495041">
        <w:trPr>
          <w:trHeight w:val="794"/>
          <w:jc w:val="center"/>
        </w:trPr>
        <w:tc>
          <w:tcPr>
            <w:tcW w:w="1507" w:type="dxa"/>
            <w:vMerge w:val="restart"/>
            <w:tcBorders>
              <w:top w:val="nil"/>
              <w:left w:val="nil"/>
              <w:bottom w:val="single" w:sz="4" w:space="0" w:color="000000"/>
              <w:right w:val="single" w:sz="4" w:space="0" w:color="000000"/>
            </w:tcBorders>
            <w:vAlign w:val="center"/>
          </w:tcPr>
          <w:p w:rsidR="00BB2389" w:rsidRPr="00BB2389" w:rsidRDefault="00BB2389" w:rsidP="00BB2389">
            <w:pPr>
              <w:snapToGrid w:val="0"/>
              <w:spacing w:line="300" w:lineRule="auto"/>
              <w:jc w:val="center"/>
              <w:textAlignment w:val="baseline"/>
              <w:rPr>
                <w:rFonts w:ascii="Times New Roman" w:eastAsia="宋体" w:hAnsi="Times New Roman" w:cs="Times New Roman"/>
                <w:b/>
                <w:spacing w:val="-10"/>
                <w:sz w:val="32"/>
                <w:szCs w:val="32"/>
              </w:rPr>
            </w:pPr>
            <w:r w:rsidRPr="00BB2389">
              <w:rPr>
                <w:rFonts w:ascii="Times New Roman" w:eastAsia="宋体" w:hAnsi="Times New Roman" w:cs="Times New Roman"/>
                <w:b/>
                <w:spacing w:val="-10"/>
                <w:sz w:val="32"/>
                <w:szCs w:val="32"/>
              </w:rPr>
              <w:t>高校</w:t>
            </w:r>
          </w:p>
          <w:p w:rsidR="00BB2389" w:rsidRPr="00BB2389" w:rsidRDefault="00BB2389" w:rsidP="00BB2389">
            <w:pPr>
              <w:snapToGrid w:val="0"/>
              <w:spacing w:line="300" w:lineRule="auto"/>
              <w:jc w:val="center"/>
              <w:textAlignment w:val="baseline"/>
              <w:rPr>
                <w:rFonts w:ascii="Times New Roman" w:eastAsia="宋体" w:hAnsi="Times New Roman" w:cs="Times New Roman"/>
                <w:b/>
                <w:spacing w:val="-10"/>
                <w:sz w:val="32"/>
                <w:szCs w:val="32"/>
              </w:rPr>
            </w:pPr>
            <w:r w:rsidRPr="00BB2389">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BB2389" w:rsidRPr="00BB2389" w:rsidRDefault="00BB2389" w:rsidP="00BB2389">
            <w:pPr>
              <w:snapToGrid w:val="0"/>
              <w:spacing w:line="300" w:lineRule="auto"/>
              <w:textAlignment w:val="baseline"/>
              <w:rPr>
                <w:rFonts w:ascii="Times New Roman" w:eastAsia="宋体" w:hAnsi="Times New Roman" w:cs="Times New Roman"/>
                <w:b/>
                <w:spacing w:val="-10"/>
                <w:sz w:val="32"/>
                <w:szCs w:val="32"/>
              </w:rPr>
            </w:pPr>
            <w:r w:rsidRPr="00BB2389">
              <w:rPr>
                <w:rFonts w:ascii="Times New Roman" w:eastAsia="宋体" w:hAnsi="Times New Roman" w:cs="Times New Roman"/>
                <w:b/>
                <w:spacing w:val="-10"/>
                <w:sz w:val="32"/>
                <w:szCs w:val="32"/>
              </w:rPr>
              <w:t>名称：</w:t>
            </w:r>
            <w:r w:rsidRPr="00BB2389">
              <w:rPr>
                <w:rFonts w:ascii="Times New Roman" w:eastAsia="宋体" w:hAnsi="Times New Roman" w:cs="Times New Roman" w:hint="eastAsia"/>
                <w:b/>
                <w:spacing w:val="-10"/>
                <w:sz w:val="32"/>
                <w:szCs w:val="32"/>
              </w:rPr>
              <w:t>应用统计</w:t>
            </w:r>
          </w:p>
        </w:tc>
      </w:tr>
      <w:tr w:rsidR="00BB2389" w:rsidRPr="00BB2389" w:rsidTr="00495041">
        <w:trPr>
          <w:trHeight w:val="794"/>
          <w:jc w:val="center"/>
        </w:trPr>
        <w:tc>
          <w:tcPr>
            <w:tcW w:w="1507" w:type="dxa"/>
            <w:vMerge/>
            <w:tcBorders>
              <w:top w:val="single" w:sz="4" w:space="0" w:color="000000"/>
              <w:left w:val="nil"/>
              <w:bottom w:val="nil"/>
              <w:right w:val="single" w:sz="4" w:space="0" w:color="000000"/>
            </w:tcBorders>
            <w:vAlign w:val="center"/>
          </w:tcPr>
          <w:p w:rsidR="00BB2389" w:rsidRPr="00BB2389" w:rsidRDefault="00BB2389" w:rsidP="00BB2389">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BB2389" w:rsidRPr="00BB2389" w:rsidRDefault="00BB2389" w:rsidP="00BB2389">
            <w:pPr>
              <w:snapToGrid w:val="0"/>
              <w:spacing w:line="300" w:lineRule="auto"/>
              <w:textAlignment w:val="baseline"/>
              <w:rPr>
                <w:rFonts w:ascii="Times New Roman" w:eastAsia="宋体" w:hAnsi="Times New Roman" w:cs="Times New Roman"/>
                <w:b/>
                <w:spacing w:val="-10"/>
                <w:sz w:val="32"/>
                <w:szCs w:val="32"/>
              </w:rPr>
            </w:pPr>
            <w:r w:rsidRPr="00BB2389">
              <w:rPr>
                <w:rFonts w:ascii="Times New Roman" w:eastAsia="宋体" w:hAnsi="Times New Roman" w:cs="Times New Roman"/>
                <w:b/>
                <w:spacing w:val="-10"/>
                <w:sz w:val="32"/>
                <w:szCs w:val="32"/>
              </w:rPr>
              <w:t>代码：</w:t>
            </w:r>
            <w:r w:rsidRPr="00BB2389">
              <w:rPr>
                <w:rFonts w:ascii="Calibri" w:eastAsia="楷体_GB2312" w:hAnsi="Calibri" w:cs="Times New Roman"/>
                <w:b/>
                <w:sz w:val="30"/>
                <w:szCs w:val="30"/>
              </w:rPr>
              <w:t>025200</w:t>
            </w:r>
          </w:p>
        </w:tc>
      </w:tr>
    </w:tbl>
    <w:p w:rsidR="00BB2389" w:rsidRPr="00BB2389" w:rsidRDefault="00BB2389" w:rsidP="00BB2389">
      <w:pPr>
        <w:spacing w:line="600" w:lineRule="exact"/>
        <w:outlineLvl w:val="2"/>
        <w:rPr>
          <w:rFonts w:ascii="Times New Roman" w:eastAsia="楷体_GB2312" w:hAnsi="Times New Roman" w:cs="Times New Roman"/>
          <w:b/>
          <w:color w:val="000000"/>
          <w:sz w:val="30"/>
          <w:szCs w:val="30"/>
        </w:rPr>
      </w:pPr>
    </w:p>
    <w:p w:rsidR="00BB2389" w:rsidRPr="00BB2389" w:rsidRDefault="00BB2389" w:rsidP="00BB2389">
      <w:pPr>
        <w:rPr>
          <w:rFonts w:ascii="Times New Roman" w:eastAsia="楷体_GB2312" w:hAnsi="Times New Roman" w:cs="Times New Roman"/>
          <w:b/>
          <w:sz w:val="30"/>
          <w:szCs w:val="30"/>
        </w:rPr>
      </w:pPr>
    </w:p>
    <w:p w:rsidR="00BB2389" w:rsidRPr="00BB2389" w:rsidRDefault="00BB2389" w:rsidP="00BB2389">
      <w:pPr>
        <w:spacing w:line="600" w:lineRule="exact"/>
        <w:ind w:firstLineChars="200" w:firstLine="602"/>
        <w:outlineLvl w:val="2"/>
        <w:rPr>
          <w:rFonts w:ascii="Times New Roman" w:eastAsia="楷体_GB2312" w:hAnsi="Times New Roman" w:cs="Times New Roman"/>
          <w:b/>
          <w:color w:val="000000"/>
          <w:sz w:val="30"/>
          <w:szCs w:val="30"/>
        </w:rPr>
      </w:pPr>
    </w:p>
    <w:p w:rsidR="00BB2389" w:rsidRPr="00BB2389" w:rsidRDefault="00BB2389" w:rsidP="00BB2389">
      <w:pPr>
        <w:rPr>
          <w:rFonts w:ascii="Calibri" w:eastAsia="方正仿宋简体" w:hAnsi="Calibri" w:cs="Times New Roman"/>
          <w:sz w:val="32"/>
          <w:szCs w:val="24"/>
        </w:rPr>
      </w:pPr>
    </w:p>
    <w:p w:rsidR="00BB2389" w:rsidRPr="00BB2389" w:rsidRDefault="00BB2389" w:rsidP="00BB2389">
      <w:pPr>
        <w:spacing w:line="300" w:lineRule="auto"/>
        <w:jc w:val="center"/>
        <w:textAlignment w:val="baseline"/>
        <w:rPr>
          <w:rFonts w:ascii="Times New Roman" w:eastAsia="楷体_GB2312" w:hAnsi="Times New Roman" w:cs="Times New Roman"/>
          <w:b/>
          <w:sz w:val="30"/>
          <w:szCs w:val="30"/>
        </w:rPr>
      </w:pPr>
    </w:p>
    <w:p w:rsidR="00BB2389" w:rsidRPr="00BB2389" w:rsidRDefault="00BB2389" w:rsidP="00BB2389">
      <w:pPr>
        <w:jc w:val="center"/>
        <w:rPr>
          <w:rFonts w:ascii="黑体" w:eastAsia="黑体" w:hAnsi="黑体" w:cs="黑体"/>
          <w:sz w:val="32"/>
          <w:szCs w:val="32"/>
        </w:rPr>
      </w:pPr>
      <w:r w:rsidRPr="00BB2389">
        <w:rPr>
          <w:rFonts w:ascii="Times New Roman" w:eastAsia="楷体_GB2312" w:hAnsi="Times New Roman" w:cs="Times New Roman"/>
          <w:b/>
          <w:sz w:val="32"/>
          <w:szCs w:val="32"/>
        </w:rPr>
        <w:t>202</w:t>
      </w:r>
      <w:r w:rsidRPr="00BB2389">
        <w:rPr>
          <w:rFonts w:ascii="Times New Roman" w:eastAsia="楷体_GB2312" w:hAnsi="Times New Roman" w:cs="Times New Roman" w:hint="eastAsia"/>
          <w:b/>
          <w:sz w:val="32"/>
          <w:szCs w:val="32"/>
        </w:rPr>
        <w:t>4</w:t>
      </w:r>
      <w:r w:rsidRPr="00BB2389">
        <w:rPr>
          <w:rFonts w:ascii="Times New Roman" w:eastAsia="楷体_GB2312" w:hAnsi="Times New Roman" w:cs="Times New Roman"/>
          <w:b/>
          <w:sz w:val="32"/>
          <w:szCs w:val="32"/>
        </w:rPr>
        <w:t>年</w:t>
      </w:r>
      <w:r w:rsidRPr="00BB2389">
        <w:rPr>
          <w:rFonts w:ascii="Times New Roman" w:eastAsia="楷体_GB2312" w:hAnsi="Times New Roman" w:cs="Times New Roman" w:hint="eastAsia"/>
          <w:b/>
          <w:sz w:val="32"/>
          <w:szCs w:val="32"/>
        </w:rPr>
        <w:t xml:space="preserve"> 3 </w:t>
      </w:r>
      <w:r w:rsidRPr="00BB2389">
        <w:rPr>
          <w:rFonts w:ascii="Times New Roman" w:eastAsia="楷体_GB2312" w:hAnsi="Times New Roman" w:cs="Times New Roman"/>
          <w:b/>
          <w:sz w:val="32"/>
          <w:szCs w:val="32"/>
        </w:rPr>
        <w:t>月</w:t>
      </w:r>
      <w:r w:rsidRPr="00BB2389">
        <w:rPr>
          <w:rFonts w:ascii="Times New Roman" w:eastAsia="楷体_GB2312" w:hAnsi="Times New Roman" w:cs="Times New Roman" w:hint="eastAsia"/>
          <w:b/>
          <w:sz w:val="32"/>
          <w:szCs w:val="32"/>
        </w:rPr>
        <w:t xml:space="preserve"> 1  </w:t>
      </w:r>
      <w:r w:rsidRPr="00BB2389">
        <w:rPr>
          <w:rFonts w:ascii="Times New Roman" w:eastAsia="楷体_GB2312" w:hAnsi="Times New Roman" w:cs="Times New Roman"/>
          <w:b/>
          <w:sz w:val="32"/>
          <w:szCs w:val="32"/>
        </w:rPr>
        <w:t>日</w:t>
      </w:r>
    </w:p>
    <w:p w:rsidR="00BB2389" w:rsidRPr="00BB2389" w:rsidRDefault="00BB2389" w:rsidP="00BB2389">
      <w:pPr>
        <w:widowControl/>
        <w:spacing w:line="560" w:lineRule="exact"/>
        <w:textAlignment w:val="baseline"/>
        <w:rPr>
          <w:rFonts w:ascii="黑体" w:eastAsia="黑体" w:hAnsi="黑体" w:cs="黑体"/>
          <w:sz w:val="32"/>
          <w:szCs w:val="32"/>
        </w:rPr>
      </w:pPr>
    </w:p>
    <w:p w:rsidR="00BB2389" w:rsidRPr="00BB2389" w:rsidRDefault="00BB2389" w:rsidP="00BB2389">
      <w:pPr>
        <w:widowControl/>
        <w:spacing w:line="560" w:lineRule="exact"/>
        <w:textAlignment w:val="baseline"/>
        <w:rPr>
          <w:rFonts w:ascii="黑体" w:eastAsia="黑体" w:hAnsi="黑体" w:cs="黑体"/>
          <w:sz w:val="32"/>
          <w:szCs w:val="32"/>
        </w:rPr>
      </w:pPr>
    </w:p>
    <w:p w:rsidR="00BB2389" w:rsidRPr="00BB2389" w:rsidRDefault="00BB2389" w:rsidP="00BB2389">
      <w:pPr>
        <w:widowControl/>
        <w:spacing w:line="560" w:lineRule="exact"/>
        <w:textAlignment w:val="baseline"/>
        <w:rPr>
          <w:rFonts w:ascii="仿宋" w:eastAsia="仿宋" w:hAnsi="仿宋" w:cs="黑体"/>
          <w:b/>
          <w:sz w:val="32"/>
          <w:szCs w:val="32"/>
        </w:rPr>
        <w:sectPr w:rsidR="00BB2389" w:rsidRPr="00BB2389">
          <w:footerReference w:type="default" r:id="rId8"/>
          <w:pgSz w:w="11910" w:h="16840"/>
          <w:pgMar w:top="1520" w:right="1520" w:bottom="1580" w:left="1680" w:header="0" w:footer="1392" w:gutter="0"/>
          <w:pgNumType w:start="1"/>
          <w:cols w:space="720"/>
        </w:sectPr>
      </w:pPr>
    </w:p>
    <w:p w:rsidR="00BB2389" w:rsidRPr="00BB2389" w:rsidRDefault="00BB2389" w:rsidP="00BB2389">
      <w:pPr>
        <w:widowControl/>
        <w:spacing w:line="560" w:lineRule="exact"/>
        <w:textAlignment w:val="baseline"/>
        <w:rPr>
          <w:rFonts w:ascii="仿宋" w:eastAsia="仿宋" w:hAnsi="仿宋" w:cs="方正仿宋简体"/>
          <w:b/>
          <w:sz w:val="32"/>
          <w:szCs w:val="32"/>
        </w:rPr>
      </w:pPr>
      <w:r w:rsidRPr="00BB2389">
        <w:rPr>
          <w:rFonts w:ascii="仿宋" w:eastAsia="仿宋" w:hAnsi="仿宋" w:cs="黑体" w:hint="eastAsia"/>
          <w:b/>
          <w:sz w:val="32"/>
          <w:szCs w:val="32"/>
        </w:rPr>
        <w:lastRenderedPageBreak/>
        <w:t>一、总体概况</w:t>
      </w:r>
    </w:p>
    <w:p w:rsidR="00BB2389" w:rsidRPr="00BB2389" w:rsidRDefault="00BB2389" w:rsidP="00BB2389">
      <w:pPr>
        <w:spacing w:line="560" w:lineRule="exact"/>
        <w:ind w:firstLineChars="200" w:firstLine="643"/>
        <w:rPr>
          <w:rFonts w:ascii="仿宋" w:eastAsia="仿宋" w:hAnsi="仿宋" w:cs="宋体"/>
          <w:b/>
          <w:bCs/>
          <w:sz w:val="32"/>
          <w:szCs w:val="32"/>
        </w:rPr>
      </w:pPr>
      <w:r w:rsidRPr="00BB2389">
        <w:rPr>
          <w:rFonts w:ascii="仿宋" w:eastAsia="仿宋" w:hAnsi="仿宋" w:cs="宋体" w:hint="eastAsia"/>
          <w:b/>
          <w:bCs/>
          <w:sz w:val="32"/>
          <w:szCs w:val="32"/>
        </w:rPr>
        <w:t>1.学位点授权基本情况</w:t>
      </w:r>
    </w:p>
    <w:p w:rsidR="00BB2389" w:rsidRPr="00BB2389" w:rsidRDefault="00BB2389" w:rsidP="00BB2389">
      <w:pPr>
        <w:spacing w:line="560" w:lineRule="exact"/>
        <w:ind w:firstLineChars="200" w:firstLine="640"/>
        <w:rPr>
          <w:rFonts w:ascii="仿宋" w:eastAsia="仿宋" w:hAnsi="仿宋" w:cs="宋体"/>
          <w:sz w:val="32"/>
          <w:szCs w:val="32"/>
        </w:rPr>
      </w:pPr>
      <w:r w:rsidRPr="00BB2389">
        <w:rPr>
          <w:rFonts w:ascii="仿宋" w:eastAsia="仿宋" w:hAnsi="仿宋" w:cs="宋体" w:hint="eastAsia"/>
          <w:color w:val="000000"/>
          <w:sz w:val="32"/>
          <w:szCs w:val="32"/>
        </w:rPr>
        <w:t>2011年8月，我校统计学科由原来的统计学二级学科博士学位授权点和概率论与数理统计二级学科硕士学位授权点申报获批为统计学一级学科博士学位授权点，现已形成从本科、硕士（含学术性和专业型）、博士到博士后完整的统计专业人才培养体系。</w:t>
      </w:r>
      <w:r w:rsidRPr="00BB2389">
        <w:rPr>
          <w:rFonts w:ascii="仿宋" w:eastAsia="仿宋" w:hAnsi="仿宋" w:cs="宋体" w:hint="eastAsia"/>
          <w:sz w:val="32"/>
          <w:szCs w:val="32"/>
        </w:rPr>
        <w:t>经过40多年的发展，本授权点已经成为华南地区统计科学研究和研究生教育的重镇，汇集了一批有影响力的专家学者，培育了数以千计的统计专业高级人才，为我省及全国统计事业的发展做出了重要贡献。</w:t>
      </w:r>
    </w:p>
    <w:p w:rsidR="00BB2389" w:rsidRPr="00BB2389" w:rsidRDefault="00BB2389" w:rsidP="00BB2389">
      <w:pPr>
        <w:tabs>
          <w:tab w:val="left" w:pos="312"/>
        </w:tabs>
        <w:spacing w:line="560" w:lineRule="exact"/>
        <w:ind w:left="643"/>
        <w:rPr>
          <w:rFonts w:ascii="仿宋" w:eastAsia="仿宋" w:hAnsi="仿宋" w:cs="宋体"/>
          <w:b/>
          <w:bCs/>
          <w:sz w:val="32"/>
          <w:szCs w:val="32"/>
        </w:rPr>
      </w:pPr>
      <w:r w:rsidRPr="00BB2389">
        <w:rPr>
          <w:rFonts w:ascii="仿宋" w:eastAsia="仿宋" w:hAnsi="仿宋" w:cs="宋体" w:hint="eastAsia"/>
          <w:b/>
          <w:bCs/>
          <w:sz w:val="32"/>
          <w:szCs w:val="32"/>
        </w:rPr>
        <w:t>2. 学科建设情况</w:t>
      </w:r>
    </w:p>
    <w:p w:rsidR="00BB2389" w:rsidRPr="00BB2389" w:rsidRDefault="00BB2389" w:rsidP="00BB2389">
      <w:pPr>
        <w:spacing w:line="60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统计与数据科学系现有教师22人， 其中，教授6人、副教授7人、讲师4人、助理教授5人，硕导16人、博导6人，2023年从澳门大学和西南财经大学各引进1名优秀博士。统计学科为学校和学科发展做出来了重大的贡献，也取得了可喜的成绩。2019年和2020年经济统计分别获省级一流本科专业和国家级一流本科专业，本系教师荣获国家级青年计划支持人才2人，珠江学者讲座教授1人，国家人事部“有特殊贡献中青年专家”1人，省部级优秀教师3人。10多年来，统计学科专任教师共获批国家级项目23项，其中国家社科重点项目4项、一般项目11项，国家自科项目8项。近5年来，统计学科专任教师获批省部级及横向项目34项，总经费近700万元； 在《JASA》《Biometrika》《JoE》《JBES》</w:t>
      </w:r>
      <w:r w:rsidRPr="00BB2389">
        <w:rPr>
          <w:rFonts w:ascii="仿宋" w:eastAsia="仿宋" w:hAnsi="仿宋" w:cs="宋体" w:hint="eastAsia"/>
          <w:color w:val="000000"/>
          <w:sz w:val="32"/>
          <w:szCs w:val="32"/>
        </w:rPr>
        <w:lastRenderedPageBreak/>
        <w:t>《统计研究》等国内外重要期刊发表论文100余篇。</w:t>
      </w:r>
    </w:p>
    <w:p w:rsidR="00BB2389" w:rsidRPr="00BB2389" w:rsidRDefault="00BB2389" w:rsidP="00BB2389">
      <w:pPr>
        <w:spacing w:line="560" w:lineRule="exact"/>
        <w:ind w:firstLineChars="200" w:firstLine="643"/>
        <w:rPr>
          <w:rFonts w:ascii="仿宋" w:eastAsia="仿宋" w:hAnsi="仿宋" w:cs="宋体"/>
          <w:b/>
          <w:bCs/>
          <w:sz w:val="32"/>
          <w:szCs w:val="32"/>
        </w:rPr>
      </w:pPr>
      <w:r w:rsidRPr="00BB2389">
        <w:rPr>
          <w:rFonts w:ascii="仿宋" w:eastAsia="仿宋" w:hAnsi="仿宋" w:cs="宋体" w:hint="eastAsia"/>
          <w:b/>
          <w:bCs/>
          <w:sz w:val="32"/>
          <w:szCs w:val="32"/>
        </w:rPr>
        <w:t>3. 研究生招生、在读、毕业、学位授予及就业基本状况</w:t>
      </w:r>
    </w:p>
    <w:p w:rsidR="00BB2389" w:rsidRPr="00BB2389" w:rsidRDefault="00BB2389" w:rsidP="00BB2389">
      <w:pPr>
        <w:snapToGrid w:val="0"/>
        <w:spacing w:line="560" w:lineRule="exact"/>
        <w:ind w:firstLineChars="200" w:firstLine="640"/>
        <w:rPr>
          <w:rFonts w:ascii="仿宋" w:eastAsia="仿宋" w:hAnsi="仿宋" w:cs="宋体"/>
          <w:color w:val="FF0000"/>
          <w:sz w:val="32"/>
          <w:szCs w:val="32"/>
        </w:rPr>
      </w:pPr>
      <w:r w:rsidRPr="00BB2389">
        <w:rPr>
          <w:rFonts w:ascii="仿宋" w:eastAsia="仿宋" w:hAnsi="仿宋" w:cs="宋体" w:hint="eastAsia"/>
          <w:color w:val="000000"/>
          <w:sz w:val="32"/>
          <w:szCs w:val="32"/>
        </w:rPr>
        <w:t>2023年，研究生报考人数为432（含推免和统招）人，实际录取为45人，录取比例约为10.4%，其中不乏“双一流”高校学生报考本学科的研究生，说明本授权点一直受到广大学子的青睐，2023年录取外招生2名。毕业生人数47人，全部就业，就业率为100%。论文外审及抽检100%合格，全部授予学位。本学科研究生就业坚持以市场为导向，充分发挥市场在人才配置中的基础性作用，基于地缘优势，优先选择广州、深圳等地就业，同时有部分学生考取公务员。</w:t>
      </w:r>
    </w:p>
    <w:p w:rsidR="00BB2389" w:rsidRPr="00BB2389" w:rsidRDefault="00BB2389" w:rsidP="00BB2389">
      <w:pPr>
        <w:spacing w:line="560" w:lineRule="exact"/>
        <w:ind w:firstLineChars="200" w:firstLine="643"/>
        <w:rPr>
          <w:rFonts w:ascii="仿宋" w:eastAsia="仿宋" w:hAnsi="仿宋" w:cs="宋体"/>
          <w:b/>
          <w:bCs/>
          <w:sz w:val="32"/>
          <w:szCs w:val="32"/>
        </w:rPr>
      </w:pPr>
      <w:r w:rsidRPr="00BB2389">
        <w:rPr>
          <w:rFonts w:ascii="仿宋" w:eastAsia="仿宋" w:hAnsi="仿宋" w:cs="宋体" w:hint="eastAsia"/>
          <w:b/>
          <w:bCs/>
          <w:sz w:val="32"/>
          <w:szCs w:val="32"/>
        </w:rPr>
        <w:t>4. 研究生导师状况</w:t>
      </w:r>
    </w:p>
    <w:p w:rsidR="00BB2389" w:rsidRPr="00BB2389" w:rsidRDefault="00BB2389" w:rsidP="00BB2389">
      <w:pPr>
        <w:autoSpaceDE w:val="0"/>
        <w:autoSpaceDN w:val="0"/>
        <w:adjustRightInd w:val="0"/>
        <w:spacing w:line="560" w:lineRule="exact"/>
        <w:ind w:firstLineChars="200" w:firstLine="640"/>
        <w:rPr>
          <w:rFonts w:ascii="仿宋" w:eastAsia="仿宋" w:hAnsi="仿宋" w:cs="宋体"/>
          <w:sz w:val="32"/>
          <w:szCs w:val="32"/>
        </w:rPr>
      </w:pPr>
      <w:r w:rsidRPr="00BB2389">
        <w:rPr>
          <w:rFonts w:ascii="仿宋" w:eastAsia="仿宋" w:hAnsi="仿宋" w:cs="宋体" w:hint="eastAsia"/>
          <w:sz w:val="32"/>
          <w:szCs w:val="32"/>
        </w:rPr>
        <w:t>从师资规模来看，本授权点在编的研究生导师共39人（含数学系），其中教授17人，拥有博士生导师资格17人，45岁以下的导师超过50%，应用统计硕士生的生师比约为3.5人/导师。</w:t>
      </w:r>
    </w:p>
    <w:p w:rsidR="00BB2389" w:rsidRPr="00BB2389" w:rsidRDefault="00BB2389" w:rsidP="00BB2389">
      <w:pPr>
        <w:widowControl/>
        <w:spacing w:line="560" w:lineRule="exact"/>
        <w:textAlignment w:val="baseline"/>
        <w:rPr>
          <w:rFonts w:ascii="仿宋" w:eastAsia="仿宋" w:hAnsi="仿宋" w:cs="黑体"/>
          <w:b/>
          <w:sz w:val="32"/>
          <w:szCs w:val="32"/>
        </w:rPr>
      </w:pPr>
      <w:r w:rsidRPr="00BB2389">
        <w:rPr>
          <w:rFonts w:ascii="仿宋" w:eastAsia="仿宋" w:hAnsi="仿宋" w:cs="黑体" w:hint="eastAsia"/>
          <w:b/>
          <w:sz w:val="32"/>
          <w:szCs w:val="32"/>
        </w:rPr>
        <w:t>二、研究生党建与思想政治教育工作</w:t>
      </w:r>
    </w:p>
    <w:p w:rsidR="00BB2389" w:rsidRPr="00BB2389" w:rsidRDefault="00BB2389" w:rsidP="00BB2389">
      <w:pPr>
        <w:autoSpaceDE w:val="0"/>
        <w:autoSpaceDN w:val="0"/>
        <w:adjustRightInd w:val="0"/>
        <w:spacing w:line="560" w:lineRule="exact"/>
        <w:ind w:firstLineChars="200" w:firstLine="640"/>
        <w:rPr>
          <w:rFonts w:ascii="仿宋" w:eastAsia="仿宋" w:hAnsi="仿宋" w:cs="宋体"/>
          <w:sz w:val="32"/>
          <w:szCs w:val="32"/>
        </w:rPr>
      </w:pPr>
      <w:r w:rsidRPr="00BB2389">
        <w:rPr>
          <w:rFonts w:ascii="仿宋" w:eastAsia="仿宋" w:hAnsi="仿宋" w:cs="宋体" w:hint="eastAsia"/>
          <w:sz w:val="32"/>
          <w:szCs w:val="32"/>
        </w:rPr>
        <w:t>本授权点研究生党建与思想政治教育工作全面贯彻习近平总书记关于</w:t>
      </w:r>
      <w:r w:rsidRPr="00BB2389">
        <w:rPr>
          <w:rFonts w:ascii="仿宋" w:eastAsia="仿宋" w:hAnsi="仿宋" w:cs="仿宋"/>
          <w:kern w:val="0"/>
          <w:sz w:val="32"/>
          <w:szCs w:val="32"/>
          <w:lang w:val="zh-CN" w:bidi="zh-CN"/>
        </w:rPr>
        <w:t>党的建设的重要思想</w:t>
      </w:r>
      <w:r w:rsidRPr="00BB2389">
        <w:rPr>
          <w:rFonts w:ascii="仿宋" w:eastAsia="仿宋" w:hAnsi="仿宋" w:cs="宋体" w:hint="eastAsia"/>
          <w:sz w:val="32"/>
          <w:szCs w:val="32"/>
        </w:rPr>
        <w:t>及视察广东和暨南大学重要讲话精神，在学校和学院党委的全面领导下，系党总支围绕立德树人根本任务，聚焦“三全育人”综合改革目标，统筹推进党建与课程教学、科研教学、实践教学等人才培养全流程思政教育模式融合发展，努力提升研究生党建和思政教育工作水平。</w:t>
      </w:r>
    </w:p>
    <w:p w:rsidR="00BB2389" w:rsidRPr="00BB2389" w:rsidRDefault="00BB2389" w:rsidP="00BB2389">
      <w:pPr>
        <w:autoSpaceDE w:val="0"/>
        <w:autoSpaceDN w:val="0"/>
        <w:adjustRightInd w:val="0"/>
        <w:spacing w:line="560" w:lineRule="exact"/>
        <w:ind w:firstLineChars="200" w:firstLine="640"/>
        <w:rPr>
          <w:rFonts w:ascii="仿宋" w:eastAsia="仿宋" w:hAnsi="仿宋" w:cs="宋体"/>
          <w:sz w:val="32"/>
          <w:szCs w:val="32"/>
        </w:rPr>
      </w:pPr>
      <w:r w:rsidRPr="00BB2389">
        <w:rPr>
          <w:rFonts w:ascii="仿宋" w:eastAsia="仿宋" w:hAnsi="仿宋" w:cs="宋体" w:hint="eastAsia"/>
          <w:sz w:val="32"/>
          <w:szCs w:val="32"/>
        </w:rPr>
        <w:lastRenderedPageBreak/>
        <w:t>首先，坚持党建与人才培养工作融合一体发展思路，将思政教育融入课程教学、科研教学和实践教学等人才培养全流程，形成以党支部、党员及积极分子为核心堡垒、以班级和团支部干部为核心依托、以导师学生小组为有机构成的思政教育组织体系，充分发挥党建在研究生人才培养过程中的灵魂引领和压舱石作用。</w:t>
      </w:r>
    </w:p>
    <w:p w:rsidR="00BB2389" w:rsidRPr="00BB2389" w:rsidRDefault="00BB2389" w:rsidP="00BB2389">
      <w:pPr>
        <w:autoSpaceDE w:val="0"/>
        <w:autoSpaceDN w:val="0"/>
        <w:adjustRightInd w:val="0"/>
        <w:spacing w:line="560" w:lineRule="exact"/>
        <w:ind w:firstLineChars="200" w:firstLine="640"/>
        <w:rPr>
          <w:rFonts w:ascii="仿宋" w:eastAsia="仿宋" w:hAnsi="仿宋" w:cs="宋体"/>
          <w:sz w:val="32"/>
          <w:szCs w:val="32"/>
        </w:rPr>
      </w:pPr>
      <w:r w:rsidRPr="00BB2389">
        <w:rPr>
          <w:rFonts w:ascii="仿宋" w:eastAsia="仿宋" w:hAnsi="仿宋" w:cs="宋体" w:hint="eastAsia"/>
          <w:sz w:val="32"/>
          <w:szCs w:val="32"/>
        </w:rPr>
        <w:t>其次，在课程教学环节，坚持“分类培养、分流教学、同相融合”侨校特色育人模式，积极实施主任书记“思政第一课”制度；鼓励专任教师根据学科特点推行教学改革和课程建设，以培养学生数据驱动、统计诚信等职业素养为目标，深入挖掘课程和课堂思政教育内容元素，着力打造研究生思政教育示范课程。</w:t>
      </w:r>
    </w:p>
    <w:p w:rsidR="00BB2389" w:rsidRPr="00BB2389" w:rsidRDefault="00BB2389" w:rsidP="00BB2389">
      <w:pPr>
        <w:numPr>
          <w:ilvl w:val="0"/>
          <w:numId w:val="1"/>
        </w:numPr>
        <w:autoSpaceDE w:val="0"/>
        <w:autoSpaceDN w:val="0"/>
        <w:adjustRightInd w:val="0"/>
        <w:spacing w:line="560" w:lineRule="exact"/>
        <w:ind w:firstLineChars="200" w:firstLine="640"/>
        <w:jc w:val="left"/>
        <w:rPr>
          <w:rFonts w:ascii="仿宋" w:eastAsia="仿宋" w:hAnsi="仿宋" w:cs="宋体"/>
          <w:sz w:val="32"/>
          <w:szCs w:val="32"/>
        </w:rPr>
      </w:pPr>
      <w:r w:rsidRPr="00BB2389">
        <w:rPr>
          <w:rFonts w:ascii="仿宋" w:eastAsia="仿宋" w:hAnsi="仿宋" w:cs="宋体" w:hint="eastAsia"/>
          <w:sz w:val="32"/>
          <w:szCs w:val="32"/>
        </w:rPr>
        <w:t>科研教学环节，落实导师是研究生培养第一责任人制度，以导师学生研究小组为基本单元，以增强学生统计职业道德、学术科研道德和社会责任感为基本目标，强化学生在科研训练环节的思政教育。充分发挥导师在研究生升学、就业等环节思政考核鉴定中的作用。</w:t>
      </w:r>
    </w:p>
    <w:p w:rsidR="00BB2389" w:rsidRPr="00BB2389" w:rsidRDefault="00BB2389" w:rsidP="00BB2389">
      <w:pPr>
        <w:autoSpaceDE w:val="0"/>
        <w:autoSpaceDN w:val="0"/>
        <w:adjustRightInd w:val="0"/>
        <w:spacing w:line="560" w:lineRule="exact"/>
        <w:ind w:firstLineChars="200" w:firstLine="640"/>
        <w:rPr>
          <w:rFonts w:ascii="仿宋" w:eastAsia="仿宋" w:hAnsi="仿宋" w:cs="宋体"/>
          <w:sz w:val="32"/>
          <w:szCs w:val="32"/>
        </w:rPr>
      </w:pPr>
      <w:r w:rsidRPr="00BB2389">
        <w:rPr>
          <w:rFonts w:ascii="仿宋" w:eastAsia="仿宋" w:hAnsi="仿宋" w:cs="宋体" w:hint="eastAsia"/>
          <w:sz w:val="32"/>
          <w:szCs w:val="32"/>
        </w:rPr>
        <w:t>第四，实践教学环节，充分发挥校外实践教学基地、统计校友基金会、学科竞赛以及党建主题日活动等平台作用，通过形式灵活多样的科研实践、学科竞赛、校友分享和户外团建等活动，将研究生党建和思政教育工作寓教于行，实现研究生人才思想理论水平和专业实践能力的双重提升。</w:t>
      </w:r>
    </w:p>
    <w:p w:rsidR="00BB2389" w:rsidRPr="00BB2389" w:rsidRDefault="00BB2389" w:rsidP="00BB2389">
      <w:pPr>
        <w:widowControl/>
        <w:spacing w:line="560" w:lineRule="exact"/>
        <w:textAlignment w:val="baseline"/>
        <w:rPr>
          <w:rFonts w:ascii="仿宋" w:eastAsia="仿宋" w:hAnsi="仿宋" w:cs="黑体"/>
          <w:b/>
          <w:sz w:val="32"/>
          <w:szCs w:val="32"/>
        </w:rPr>
      </w:pPr>
      <w:r w:rsidRPr="00BB2389">
        <w:rPr>
          <w:rFonts w:ascii="仿宋" w:eastAsia="仿宋" w:hAnsi="仿宋" w:cs="黑体" w:hint="eastAsia"/>
          <w:b/>
          <w:sz w:val="32"/>
          <w:szCs w:val="32"/>
        </w:rPr>
        <w:t>三、研究生培养相关制度及执行情况</w:t>
      </w:r>
    </w:p>
    <w:p w:rsidR="00BB2389" w:rsidRPr="00BB2389" w:rsidRDefault="00BB2389" w:rsidP="00BB2389">
      <w:pPr>
        <w:spacing w:line="560" w:lineRule="exact"/>
        <w:ind w:firstLineChars="200" w:firstLine="640"/>
        <w:outlineLvl w:val="2"/>
        <w:rPr>
          <w:rFonts w:ascii="仿宋" w:eastAsia="仿宋" w:hAnsi="仿宋" w:cs="宋体"/>
          <w:sz w:val="32"/>
          <w:szCs w:val="32"/>
        </w:rPr>
      </w:pPr>
      <w:r w:rsidRPr="00BB2389">
        <w:rPr>
          <w:rFonts w:ascii="仿宋" w:eastAsia="仿宋" w:hAnsi="仿宋" w:cs="宋体" w:hint="eastAsia"/>
          <w:sz w:val="32"/>
          <w:szCs w:val="32"/>
        </w:rPr>
        <w:t>1.课程建设与实施情况</w:t>
      </w:r>
    </w:p>
    <w:p w:rsidR="00BB2389" w:rsidRPr="00BB2389" w:rsidRDefault="00BB2389" w:rsidP="00BB2389">
      <w:pPr>
        <w:spacing w:line="560" w:lineRule="exact"/>
        <w:ind w:firstLineChars="200" w:firstLine="640"/>
        <w:outlineLvl w:val="2"/>
        <w:rPr>
          <w:rFonts w:ascii="仿宋" w:eastAsia="仿宋" w:hAnsi="仿宋" w:cs="宋体"/>
          <w:sz w:val="32"/>
          <w:szCs w:val="32"/>
        </w:rPr>
      </w:pPr>
      <w:r w:rsidRPr="00BB2389">
        <w:rPr>
          <w:rFonts w:ascii="仿宋" w:eastAsia="仿宋" w:hAnsi="仿宋" w:cs="宋体" w:hint="eastAsia"/>
          <w:sz w:val="32"/>
          <w:szCs w:val="32"/>
        </w:rPr>
        <w:t xml:space="preserve">根据培养目标和发展定位要求，设置课程进行课程建设，具体如下： </w:t>
      </w:r>
    </w:p>
    <w:p w:rsidR="00BB2389" w:rsidRPr="00BB2389" w:rsidRDefault="00BB2389" w:rsidP="00BB2389">
      <w:pPr>
        <w:spacing w:line="560" w:lineRule="exact"/>
        <w:ind w:firstLineChars="200" w:firstLine="640"/>
        <w:outlineLvl w:val="2"/>
        <w:rPr>
          <w:rFonts w:ascii="仿宋" w:eastAsia="仿宋" w:hAnsi="仿宋" w:cs="宋体"/>
          <w:sz w:val="32"/>
          <w:szCs w:val="32"/>
        </w:rPr>
      </w:pPr>
      <w:r w:rsidRPr="00BB2389">
        <w:rPr>
          <w:rFonts w:ascii="仿宋" w:eastAsia="仿宋" w:hAnsi="仿宋" w:cs="宋体" w:hint="eastAsia"/>
          <w:sz w:val="32"/>
          <w:szCs w:val="32"/>
        </w:rPr>
        <w:t>（1）开设核心课程情况。本授权点围绕教授学生统计理论研究和实践应用所需的专业知识、研究方法和研究工具为目标，按照研究生培养方案要求，结合未来统计专业前沿发展趋势和就业需要进行具体的课程设置，增设了《机器学习基础》、《面板数据和Stata应用》和《案例分析》等实际应用课程。</w:t>
      </w:r>
    </w:p>
    <w:p w:rsidR="00BB2389" w:rsidRPr="00BB2389" w:rsidRDefault="00BB2389" w:rsidP="00BB2389">
      <w:pPr>
        <w:autoSpaceDE w:val="0"/>
        <w:autoSpaceDN w:val="0"/>
        <w:adjustRightInd w:val="0"/>
        <w:spacing w:line="560" w:lineRule="exact"/>
        <w:ind w:firstLineChars="200" w:firstLine="640"/>
        <w:jc w:val="left"/>
        <w:rPr>
          <w:rFonts w:ascii="仿宋" w:eastAsia="仿宋" w:hAnsi="仿宋" w:cs="宋体"/>
          <w:sz w:val="32"/>
          <w:szCs w:val="32"/>
        </w:rPr>
      </w:pPr>
      <w:r w:rsidRPr="00BB2389">
        <w:rPr>
          <w:rFonts w:ascii="仿宋" w:eastAsia="仿宋" w:hAnsi="仿宋" w:cs="宋体" w:hint="eastAsia"/>
          <w:sz w:val="32"/>
          <w:szCs w:val="32"/>
        </w:rPr>
        <w:t>（2）课程教学质量。本授权点已加入我校经济学院研究生案例库和协同育人平台建设，每位主讲教师均编写了若干个教学案例，大量采用案例教学手段讲授统计理论方法，并引导学生寻找现实问题类似地解决，以巩固所学的统计理论方法。同时，本授权点一直重视教学研究与改革，已涌现出一批优秀的教学成果。《统计学原理》课程入选广东省一流本科课程。在广东省教育评价改革主题征文活动中获得2个三等奖。多位老师获得省级和校级教改项目。</w:t>
      </w:r>
    </w:p>
    <w:p w:rsidR="00BB2389" w:rsidRPr="00BB2389" w:rsidRDefault="00BB2389" w:rsidP="00BB2389">
      <w:pPr>
        <w:autoSpaceDE w:val="0"/>
        <w:autoSpaceDN w:val="0"/>
        <w:adjustRightInd w:val="0"/>
        <w:spacing w:line="560" w:lineRule="exact"/>
        <w:ind w:firstLineChars="200" w:firstLine="640"/>
        <w:jc w:val="left"/>
        <w:rPr>
          <w:rFonts w:ascii="仿宋" w:eastAsia="仿宋" w:hAnsi="仿宋" w:cs="宋体"/>
          <w:sz w:val="32"/>
          <w:szCs w:val="32"/>
        </w:rPr>
      </w:pPr>
      <w:r w:rsidRPr="00BB2389">
        <w:rPr>
          <w:rFonts w:ascii="仿宋" w:eastAsia="仿宋" w:hAnsi="仿宋" w:cs="宋体" w:hint="eastAsia"/>
          <w:sz w:val="32"/>
          <w:szCs w:val="32"/>
        </w:rPr>
        <w:t>2. 学术训练情况</w:t>
      </w:r>
    </w:p>
    <w:p w:rsidR="00BB2389" w:rsidRPr="00BB2389" w:rsidRDefault="00BB2389" w:rsidP="00BB2389">
      <w:pPr>
        <w:autoSpaceDE w:val="0"/>
        <w:autoSpaceDN w:val="0"/>
        <w:adjustRightInd w:val="0"/>
        <w:spacing w:line="560" w:lineRule="exact"/>
        <w:ind w:firstLineChars="200" w:firstLine="640"/>
        <w:rPr>
          <w:rFonts w:ascii="仿宋" w:eastAsia="仿宋" w:hAnsi="仿宋" w:cs="宋体"/>
          <w:sz w:val="32"/>
          <w:szCs w:val="32"/>
        </w:rPr>
      </w:pPr>
      <w:r w:rsidRPr="00BB2389">
        <w:rPr>
          <w:rFonts w:ascii="仿宋" w:eastAsia="仿宋" w:hAnsi="仿宋" w:cs="宋体" w:hint="eastAsia"/>
          <w:sz w:val="32"/>
          <w:szCs w:val="32"/>
        </w:rPr>
        <w:t>（1）制度保证。本授权点积极动员、鼓励和资助研究生导师指导研究生参加各类学术竞赛和科研活动，并在研究生评奖等方面着重考虑研究生学术训练情况，目前已取得显著成效。</w:t>
      </w:r>
    </w:p>
    <w:p w:rsidR="00BB2389" w:rsidRPr="00BB2389" w:rsidRDefault="00BB2389" w:rsidP="00BB2389">
      <w:pPr>
        <w:autoSpaceDE w:val="0"/>
        <w:autoSpaceDN w:val="0"/>
        <w:adjustRightInd w:val="0"/>
        <w:spacing w:line="560" w:lineRule="exact"/>
        <w:ind w:firstLineChars="200" w:firstLine="640"/>
        <w:rPr>
          <w:rFonts w:ascii="仿宋" w:eastAsia="仿宋" w:hAnsi="仿宋" w:cs="宋体"/>
          <w:sz w:val="32"/>
          <w:szCs w:val="32"/>
        </w:rPr>
      </w:pPr>
      <w:r w:rsidRPr="00BB2389">
        <w:rPr>
          <w:rFonts w:ascii="仿宋" w:eastAsia="仿宋" w:hAnsi="仿宋" w:cs="宋体" w:hint="eastAsia"/>
          <w:sz w:val="32"/>
          <w:szCs w:val="32"/>
        </w:rPr>
        <w:t>（2）经费支持。在校院资助学生参与学术训练项目的基本上，本授权点还专门拨出经费鼓励学生参与统计建模、案例大赛、全国市场调查大赛等学术活动。</w:t>
      </w:r>
    </w:p>
    <w:p w:rsidR="00BB2389" w:rsidRPr="00BB2389" w:rsidRDefault="00BB2389" w:rsidP="00BB2389">
      <w:pPr>
        <w:spacing w:line="560" w:lineRule="exact"/>
        <w:ind w:firstLineChars="150" w:firstLine="480"/>
        <w:rPr>
          <w:rFonts w:ascii="仿宋" w:eastAsia="仿宋" w:hAnsi="仿宋" w:cs="宋体"/>
          <w:sz w:val="32"/>
          <w:szCs w:val="32"/>
        </w:rPr>
      </w:pPr>
      <w:r w:rsidRPr="00BB2389">
        <w:rPr>
          <w:rFonts w:ascii="仿宋" w:eastAsia="仿宋" w:hAnsi="仿宋" w:cs="宋体" w:hint="eastAsia"/>
          <w:sz w:val="32"/>
          <w:szCs w:val="32"/>
        </w:rPr>
        <w:t>（3）学生学术获奖情况。</w:t>
      </w:r>
      <w:r w:rsidRPr="00BB2389">
        <w:rPr>
          <w:rFonts w:ascii="仿宋" w:eastAsia="仿宋" w:hAnsi="仿宋" w:cs="宋体" w:hint="eastAsia"/>
          <w:color w:val="000000"/>
          <w:sz w:val="32"/>
          <w:szCs w:val="32"/>
        </w:rPr>
        <w:t>在2023年取得了辉煌的成就，获国奖4人次、参加市场调研大赛、泰迪杯等获得全国一等奖、二等奖近50人次。校级优秀毕业生1人次。</w:t>
      </w:r>
    </w:p>
    <w:p w:rsidR="00BB2389" w:rsidRPr="00BB2389" w:rsidRDefault="00BB2389" w:rsidP="00BB2389">
      <w:pPr>
        <w:spacing w:line="560" w:lineRule="exact"/>
        <w:ind w:firstLineChars="200" w:firstLine="640"/>
        <w:rPr>
          <w:rFonts w:ascii="仿宋" w:eastAsia="仿宋" w:hAnsi="仿宋" w:cs="宋体"/>
          <w:sz w:val="32"/>
          <w:szCs w:val="32"/>
        </w:rPr>
      </w:pPr>
      <w:r w:rsidRPr="00BB2389">
        <w:rPr>
          <w:rFonts w:ascii="仿宋" w:eastAsia="仿宋" w:hAnsi="仿宋" w:cs="宋体" w:hint="eastAsia"/>
          <w:sz w:val="32"/>
          <w:szCs w:val="32"/>
        </w:rPr>
        <w:t>3. 学术交流</w:t>
      </w:r>
    </w:p>
    <w:p w:rsidR="00BB2389" w:rsidRPr="00BB2389" w:rsidRDefault="00BB2389" w:rsidP="00BB2389">
      <w:pPr>
        <w:spacing w:line="560" w:lineRule="exact"/>
        <w:ind w:firstLineChars="200" w:firstLine="640"/>
        <w:rPr>
          <w:rFonts w:ascii="仿宋" w:eastAsia="仿宋" w:hAnsi="仿宋" w:cs="宋体"/>
          <w:sz w:val="32"/>
          <w:szCs w:val="32"/>
        </w:rPr>
      </w:pPr>
      <w:r w:rsidRPr="00BB2389">
        <w:rPr>
          <w:rFonts w:ascii="仿宋" w:eastAsia="仿宋" w:hAnsi="仿宋" w:cs="宋体" w:hint="eastAsia"/>
          <w:sz w:val="32"/>
          <w:szCs w:val="32"/>
        </w:rPr>
        <w:t>暨南大学已制定了关于资助研究生参加国际学术会议管理规定，学校和学院拨出专门的经费资助研究生参与国内外学术会议。2023年，有多名研究生投稿并参加中国现场统计学会、广东省现场统计学会等全国性和国际性的学术会议。</w:t>
      </w:r>
    </w:p>
    <w:p w:rsidR="00BB2389" w:rsidRPr="00BB2389" w:rsidRDefault="00BB2389" w:rsidP="00BB2389">
      <w:pPr>
        <w:spacing w:line="560" w:lineRule="exact"/>
        <w:ind w:firstLineChars="200" w:firstLine="640"/>
        <w:rPr>
          <w:rFonts w:ascii="仿宋" w:eastAsia="仿宋" w:hAnsi="仿宋" w:cs="宋体"/>
          <w:color w:val="000000"/>
          <w:sz w:val="32"/>
          <w:szCs w:val="32"/>
        </w:rPr>
      </w:pPr>
      <w:r w:rsidRPr="00BB2389">
        <w:rPr>
          <w:rFonts w:ascii="仿宋" w:eastAsia="仿宋" w:hAnsi="仿宋" w:cs="宋体" w:hint="eastAsia"/>
          <w:color w:val="000000"/>
          <w:sz w:val="32"/>
          <w:szCs w:val="32"/>
        </w:rPr>
        <w:t>4. 研究生奖助体系</w:t>
      </w:r>
    </w:p>
    <w:p w:rsidR="00BB2389" w:rsidRPr="00BB2389" w:rsidRDefault="00BB2389" w:rsidP="00BB2389">
      <w:pPr>
        <w:spacing w:line="560" w:lineRule="exact"/>
        <w:ind w:firstLineChars="200" w:firstLine="640"/>
        <w:rPr>
          <w:rFonts w:ascii="仿宋" w:eastAsia="仿宋" w:hAnsi="仿宋" w:cs="宋体"/>
          <w:sz w:val="32"/>
          <w:szCs w:val="32"/>
        </w:rPr>
      </w:pPr>
      <w:r w:rsidRPr="00BB2389">
        <w:rPr>
          <w:rFonts w:ascii="仿宋" w:eastAsia="仿宋" w:hAnsi="仿宋" w:cs="宋体" w:hint="eastAsia"/>
          <w:sz w:val="32"/>
          <w:szCs w:val="32"/>
        </w:rPr>
        <w:t>我校实施卓越导师计划和菁英学子计划，有针对性地资助科研能力突出的导师和研究生开展高水平科学研究。另外，本授权点拥有校、院、系三级多层次的研究生奖助学金体系，同时，本系拥有</w:t>
      </w:r>
      <w:r w:rsidRPr="00BB2389">
        <w:rPr>
          <w:rFonts w:ascii="仿宋" w:eastAsia="仿宋" w:hAnsi="仿宋" w:cs="宋体"/>
          <w:sz w:val="32"/>
          <w:szCs w:val="32"/>
        </w:rPr>
        <w:t>暨南大学瀚森助学奖学基金</w:t>
      </w:r>
      <w:r w:rsidRPr="00BB2389">
        <w:rPr>
          <w:rFonts w:ascii="仿宋" w:eastAsia="仿宋" w:hAnsi="仿宋" w:cs="宋体" w:hint="eastAsia"/>
          <w:sz w:val="32"/>
          <w:szCs w:val="32"/>
        </w:rPr>
        <w:t>、</w:t>
      </w:r>
      <w:r w:rsidRPr="00BB2389">
        <w:rPr>
          <w:rFonts w:ascii="仿宋" w:eastAsia="仿宋" w:hAnsi="仿宋" w:cs="宋体"/>
          <w:sz w:val="32"/>
          <w:szCs w:val="32"/>
        </w:rPr>
        <w:t>暨南大学计统88奖学金</w:t>
      </w:r>
      <w:r w:rsidRPr="00BB2389">
        <w:rPr>
          <w:rFonts w:ascii="仿宋" w:eastAsia="仿宋" w:hAnsi="仿宋" w:cs="宋体" w:hint="eastAsia"/>
          <w:sz w:val="32"/>
          <w:szCs w:val="32"/>
        </w:rPr>
        <w:t>、暨深统计奖教奖学金，能够涵盖绝大部分研究生。</w:t>
      </w:r>
    </w:p>
    <w:p w:rsidR="00BB2389" w:rsidRPr="00BB2389" w:rsidRDefault="00BB2389" w:rsidP="00BB2389">
      <w:pPr>
        <w:widowControl/>
        <w:spacing w:line="560" w:lineRule="exact"/>
        <w:textAlignment w:val="baseline"/>
        <w:rPr>
          <w:rFonts w:ascii="仿宋" w:eastAsia="仿宋" w:hAnsi="仿宋" w:cs="黑体"/>
          <w:b/>
          <w:sz w:val="32"/>
          <w:szCs w:val="32"/>
        </w:rPr>
      </w:pPr>
      <w:r w:rsidRPr="00BB2389">
        <w:rPr>
          <w:rFonts w:ascii="仿宋" w:eastAsia="仿宋" w:hAnsi="仿宋" w:cs="黑体" w:hint="eastAsia"/>
          <w:b/>
          <w:sz w:val="32"/>
          <w:szCs w:val="32"/>
        </w:rPr>
        <w:t>四、研究生教育改革情况</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导师聘用及培训、导师组制探索和国际交流等方面的改革创新情况：</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（1）导师聘用及培训。加强师德师风资格审查和培训，把导师是否有科研课题和课题经费数作为导师上岗的基本条件。定期开展专题讲座、教研活动等对导师进行职业素养和业务素质的培训。</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（2）导师组制探索。依据课程模块及导师专业方向构建导师组，探索联合培养新模式。</w:t>
      </w:r>
    </w:p>
    <w:p w:rsidR="00BB2389" w:rsidRPr="00BB2389" w:rsidRDefault="00BB2389" w:rsidP="00BB2389">
      <w:pPr>
        <w:spacing w:line="560" w:lineRule="exact"/>
        <w:ind w:firstLineChars="200" w:firstLine="640"/>
        <w:outlineLvl w:val="2"/>
        <w:rPr>
          <w:rFonts w:ascii="仿宋" w:eastAsia="仿宋" w:hAnsi="仿宋" w:cs="Times New Roman"/>
          <w:color w:val="000000"/>
          <w:sz w:val="32"/>
          <w:szCs w:val="32"/>
        </w:rPr>
      </w:pPr>
      <w:r w:rsidRPr="00BB2389">
        <w:rPr>
          <w:rFonts w:ascii="仿宋" w:eastAsia="仿宋" w:hAnsi="仿宋" w:cs="宋体" w:hint="eastAsia"/>
          <w:color w:val="000000"/>
          <w:sz w:val="32"/>
          <w:szCs w:val="32"/>
        </w:rPr>
        <w:t>（3）国际交流。在统计学一级学科师资队伍建设上，柔性引进了美国加州大学的姚卫鑫副教授和美国宾州州立大学的李润泽教授，同时引进美国宾州州立大学的马彦源教授聘为珠江学者讲座教授。进站博士后近10 名。本学科将继续完善已有的4 个研究方向和教学科研队伍，巩固以教授和博士为主、年富力强的研究生教学团队，为本学科发展提供充足的人力资源保障。</w:t>
      </w:r>
    </w:p>
    <w:p w:rsidR="00BB2389" w:rsidRPr="00BB2389" w:rsidRDefault="00BB2389" w:rsidP="00BB2389">
      <w:pPr>
        <w:widowControl/>
        <w:spacing w:line="560" w:lineRule="exact"/>
        <w:textAlignment w:val="baseline"/>
        <w:rPr>
          <w:rFonts w:ascii="仿宋" w:eastAsia="仿宋" w:hAnsi="仿宋" w:cs="黑体"/>
          <w:b/>
          <w:sz w:val="32"/>
          <w:szCs w:val="32"/>
        </w:rPr>
      </w:pPr>
      <w:r w:rsidRPr="00BB2389">
        <w:rPr>
          <w:rFonts w:ascii="仿宋" w:eastAsia="仿宋" w:hAnsi="仿宋" w:cs="黑体" w:hint="eastAsia"/>
          <w:b/>
          <w:sz w:val="32"/>
          <w:szCs w:val="32"/>
        </w:rPr>
        <w:t>五、教育质量评估与分析</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学科自我评估进展及问题分析，学位论文抽检情况及问题分析。</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本授权点一直重视学位论文质量，注重统计理论联系实际，解决现实社会经济问题，同时又具备一定的创新性；研究生管理部门和导师组通过论文开题、查重、预审查、预答辩、外审和正式答辩等途径和环节严格把关论文写作规范。按照校院两级学术督导委员会的要求，每年预审查毕业论文比例为100%，盲审比例为20%，随机抽查已通过评阅及答辩的论文比例达40%。目前，未发现论文抄袭等违反学术道德的现象。</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存在主要问题与不足：</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（1）对外学术联系需要进一步加强，国内外影响力还有待提高。</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（2）进一步加强研究生国内外学术交流。</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（3）应用统计的培养需要加强与业界的联系，加强案例教学比例。</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（4）校外导师人数和行业跨度还不够，实践参与指导深度还不够。</w:t>
      </w:r>
    </w:p>
    <w:p w:rsidR="00BB2389" w:rsidRPr="00BB2389" w:rsidRDefault="00BB2389" w:rsidP="00BB2389">
      <w:pPr>
        <w:spacing w:line="560" w:lineRule="exact"/>
        <w:outlineLvl w:val="2"/>
        <w:rPr>
          <w:rFonts w:ascii="仿宋" w:eastAsia="仿宋" w:hAnsi="仿宋" w:cs="黑体"/>
          <w:b/>
          <w:sz w:val="32"/>
          <w:szCs w:val="32"/>
        </w:rPr>
      </w:pPr>
      <w:r w:rsidRPr="00BB2389">
        <w:rPr>
          <w:rFonts w:ascii="仿宋" w:eastAsia="仿宋" w:hAnsi="仿宋" w:cs="黑体" w:hint="eastAsia"/>
          <w:b/>
          <w:sz w:val="32"/>
          <w:szCs w:val="32"/>
        </w:rPr>
        <w:t>六、改进措施</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针对问题提出改进建议和下一步思路举措。</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1.希望学校按照国家“双一流”建设中一流学科的分类目录，对统计学一级学科的建设加以规划和支持，支持统计学科多引进海内外知名学者或博士生。希望学校在现有的经济统计学本科专业基础上，申办“数据科学”专业，统筹相关资源。</w:t>
      </w:r>
    </w:p>
    <w:p w:rsidR="00BB2389" w:rsidRPr="00BB2389" w:rsidRDefault="00BB2389" w:rsidP="00BB2389">
      <w:pPr>
        <w:spacing w:line="560" w:lineRule="exact"/>
        <w:ind w:firstLineChars="200" w:firstLine="640"/>
        <w:outlineLvl w:val="2"/>
        <w:rPr>
          <w:rFonts w:ascii="仿宋" w:eastAsia="仿宋" w:hAnsi="仿宋" w:cs="宋体"/>
          <w:color w:val="000000"/>
          <w:sz w:val="32"/>
          <w:szCs w:val="32"/>
        </w:rPr>
      </w:pPr>
      <w:r w:rsidRPr="00BB2389">
        <w:rPr>
          <w:rFonts w:ascii="仿宋" w:eastAsia="仿宋" w:hAnsi="仿宋" w:cs="宋体" w:hint="eastAsia"/>
          <w:color w:val="000000"/>
          <w:sz w:val="32"/>
          <w:szCs w:val="32"/>
        </w:rPr>
        <w:t>2.借助大湾区建设的机遇，进一步加强与香港、澳门的联系，加强合作，提高学术研究水平，进而提高统计学科在国内外的影响力。委派中青年教师和研究生去香港访问交流。借助学校和学院相关政策，鼓励学生参加国内外学术会议。</w:t>
      </w:r>
    </w:p>
    <w:p w:rsidR="002A0C0D" w:rsidRDefault="00BB2389" w:rsidP="00BB2389">
      <w:r w:rsidRPr="00BB2389">
        <w:rPr>
          <w:rFonts w:ascii="仿宋" w:eastAsia="仿宋" w:hAnsi="仿宋" w:cs="宋体" w:hint="eastAsia"/>
          <w:color w:val="000000"/>
          <w:sz w:val="32"/>
          <w:szCs w:val="32"/>
        </w:rPr>
        <w:t>3.已经向学校递交10位涵盖广东省统计局、广东省全国调查总队及业界的校外指导导师申请，以后定期的邀请校外导师及业界人士来校讲学。</w:t>
      </w:r>
    </w:p>
    <w:sectPr w:rsidR="002A0C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55A" w:rsidRDefault="00EE655A">
      <w:r>
        <w:separator/>
      </w:r>
    </w:p>
  </w:endnote>
  <w:endnote w:type="continuationSeparator" w:id="0">
    <w:p w:rsidR="00EE655A" w:rsidRDefault="00EE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10" w:usb3="00000000" w:csb0="00040000" w:csb1="00000000"/>
  </w:font>
  <w:font w:name="方正小标宋简体">
    <w:altName w:val="方正舒体"/>
    <w:charset w:val="86"/>
    <w:family w:val="auto"/>
    <w:pitch w:val="default"/>
    <w:sig w:usb0="00000001" w:usb1="08000000" w:usb2="0000000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0B" w:rsidRDefault="00BB2389">
    <w:pPr>
      <w:pStyle w:val="a3"/>
      <w:widowControl/>
      <w:textAlignment w:val="baseline"/>
      <w:rPr>
        <w:rStyle w:val="NormalCharacter"/>
        <w:rFonts w:ascii="Times New Roman" w:eastAsia="宋体" w:hAnsi="Times New Roman"/>
      </w:rPr>
    </w:pPr>
    <w:r>
      <w:rPr>
        <w:rStyle w:val="NormalCharacter"/>
        <w:rFonts w:ascii="Times New Roman" w:eastAsia="宋体" w:hAnsi="Times New Roman"/>
        <w:noProof/>
      </w:rPr>
      <mc:AlternateContent>
        <mc:Choice Requires="wps">
          <w:drawing>
            <wp:anchor distT="0" distB="0" distL="114300" distR="114300" simplePos="0" relativeHeight="251659264" behindDoc="0" locked="0" layoutInCell="1" allowOverlap="1" wp14:anchorId="459BEA8A" wp14:editId="09819CB5">
              <wp:simplePos x="0" y="0"/>
              <wp:positionH relativeFrom="margin">
                <wp:align>center</wp:align>
              </wp:positionH>
              <wp:positionV relativeFrom="paragraph">
                <wp:posOffset>8255</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56200B" w:rsidRDefault="00976095">
                          <w:pPr>
                            <w:pStyle w:val="a3"/>
                            <w:widowControl/>
                            <w:jc w:val="both"/>
                            <w:textAlignment w:val="baseline"/>
                            <w:rPr>
                              <w:rStyle w:val="NormalCharacter"/>
                              <w:rFonts w:ascii="Times New Roman" w:eastAsia="宋体" w:hAnsi="Times New Roman"/>
                              <w:sz w:val="20"/>
                            </w:rPr>
                          </w:pPr>
                        </w:p>
                        <w:p w:rsidR="0056200B" w:rsidRDefault="00976095">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7" o:spid="_x0000_s1026" type="#_x0000_t202" style="position:absolute;margin-left:0;margin-top:.65pt;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" filled="f" stroked="f" strokeweight="1.25pt">
              <v:textbox inset="0,0,0,0">
                <w:txbxContent>
                  <w:p w:rsidR="0056200B" w:rsidRDefault="00EE655A">
                    <w:pPr>
                      <w:pStyle w:val="a3"/>
                      <w:widowControl/>
                      <w:jc w:val="both"/>
                      <w:textAlignment w:val="baseline"/>
                      <w:rPr>
                        <w:rStyle w:val="NormalCharacter"/>
                        <w:rFonts w:ascii="Times New Roman" w:eastAsia="宋体" w:hAnsi="Times New Roman"/>
                        <w:sz w:val="20"/>
                      </w:rPr>
                    </w:pPr>
                  </w:p>
                  <w:p w:rsidR="0056200B" w:rsidRDefault="00EE655A">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55A" w:rsidRDefault="00EE655A">
      <w:r>
        <w:separator/>
      </w:r>
    </w:p>
  </w:footnote>
  <w:footnote w:type="continuationSeparator" w:id="0">
    <w:p w:rsidR="00EE655A" w:rsidRDefault="00EE65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73F2D7"/>
    <w:multiLevelType w:val="singleLevel"/>
    <w:tmpl w:val="EC73F2D7"/>
    <w:lvl w:ilvl="0">
      <w:start w:val="3"/>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389"/>
    <w:rsid w:val="00273DEF"/>
    <w:rsid w:val="002A0C0D"/>
    <w:rsid w:val="002B269F"/>
    <w:rsid w:val="008E0729"/>
    <w:rsid w:val="00976095"/>
    <w:rsid w:val="00B775E9"/>
    <w:rsid w:val="00BB2389"/>
    <w:rsid w:val="00CA3737"/>
    <w:rsid w:val="00EE6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BB2389"/>
    <w:pPr>
      <w:tabs>
        <w:tab w:val="center" w:pos="4153"/>
        <w:tab w:val="right" w:pos="8306"/>
      </w:tabs>
      <w:autoSpaceDE w:val="0"/>
      <w:autoSpaceDN w:val="0"/>
      <w:snapToGrid w:val="0"/>
      <w:jc w:val="left"/>
    </w:pPr>
    <w:rPr>
      <w:rFonts w:ascii="仿宋" w:eastAsia="仿宋" w:hAnsi="仿宋" w:cs="仿宋"/>
      <w:kern w:val="0"/>
      <w:sz w:val="18"/>
      <w:szCs w:val="18"/>
      <w:lang w:val="zh-CN" w:bidi="zh-CN"/>
    </w:rPr>
  </w:style>
  <w:style w:type="character" w:customStyle="1" w:styleId="Char">
    <w:name w:val="页脚 Char"/>
    <w:basedOn w:val="a0"/>
    <w:uiPriority w:val="99"/>
    <w:semiHidden/>
    <w:rsid w:val="00BB2389"/>
    <w:rPr>
      <w:sz w:val="18"/>
      <w:szCs w:val="18"/>
    </w:rPr>
  </w:style>
  <w:style w:type="character" w:customStyle="1" w:styleId="NormalCharacter">
    <w:name w:val="NormalCharacter"/>
    <w:semiHidden/>
    <w:qFormat/>
    <w:rsid w:val="00BB2389"/>
    <w:rPr>
      <w:rFonts w:ascii="Calibri" w:eastAsia="方正仿宋简体" w:hAnsi="Calibri" w:cs="Times New Roman"/>
      <w:kern w:val="2"/>
      <w:sz w:val="32"/>
      <w:szCs w:val="24"/>
      <w:lang w:val="en-US" w:eastAsia="zh-CN" w:bidi="ar-SA"/>
    </w:rPr>
  </w:style>
  <w:style w:type="character" w:customStyle="1" w:styleId="Char1">
    <w:name w:val="页脚 Char1"/>
    <w:basedOn w:val="a0"/>
    <w:link w:val="a3"/>
    <w:uiPriority w:val="99"/>
    <w:qFormat/>
    <w:rsid w:val="00BB2389"/>
    <w:rPr>
      <w:rFonts w:ascii="仿宋" w:eastAsia="仿宋" w:hAnsi="仿宋" w:cs="仿宋"/>
      <w:kern w:val="0"/>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BB2389"/>
    <w:pPr>
      <w:tabs>
        <w:tab w:val="center" w:pos="4153"/>
        <w:tab w:val="right" w:pos="8306"/>
      </w:tabs>
      <w:autoSpaceDE w:val="0"/>
      <w:autoSpaceDN w:val="0"/>
      <w:snapToGrid w:val="0"/>
      <w:jc w:val="left"/>
    </w:pPr>
    <w:rPr>
      <w:rFonts w:ascii="仿宋" w:eastAsia="仿宋" w:hAnsi="仿宋" w:cs="仿宋"/>
      <w:kern w:val="0"/>
      <w:sz w:val="18"/>
      <w:szCs w:val="18"/>
      <w:lang w:val="zh-CN" w:bidi="zh-CN"/>
    </w:rPr>
  </w:style>
  <w:style w:type="character" w:customStyle="1" w:styleId="Char">
    <w:name w:val="页脚 Char"/>
    <w:basedOn w:val="a0"/>
    <w:uiPriority w:val="99"/>
    <w:semiHidden/>
    <w:rsid w:val="00BB2389"/>
    <w:rPr>
      <w:sz w:val="18"/>
      <w:szCs w:val="18"/>
    </w:rPr>
  </w:style>
  <w:style w:type="character" w:customStyle="1" w:styleId="NormalCharacter">
    <w:name w:val="NormalCharacter"/>
    <w:semiHidden/>
    <w:qFormat/>
    <w:rsid w:val="00BB2389"/>
    <w:rPr>
      <w:rFonts w:ascii="Calibri" w:eastAsia="方正仿宋简体" w:hAnsi="Calibri" w:cs="Times New Roman"/>
      <w:kern w:val="2"/>
      <w:sz w:val="32"/>
      <w:szCs w:val="24"/>
      <w:lang w:val="en-US" w:eastAsia="zh-CN" w:bidi="ar-SA"/>
    </w:rPr>
  </w:style>
  <w:style w:type="character" w:customStyle="1" w:styleId="Char1">
    <w:name w:val="页脚 Char1"/>
    <w:basedOn w:val="a0"/>
    <w:link w:val="a3"/>
    <w:uiPriority w:val="99"/>
    <w:qFormat/>
    <w:rsid w:val="00BB2389"/>
    <w:rPr>
      <w:rFonts w:ascii="仿宋" w:eastAsia="仿宋" w:hAnsi="仿宋" w:cs="仿宋"/>
      <w:kern w:val="0"/>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3066</Characters>
  <Application>Microsoft Office Word</Application>
  <DocSecurity>0</DocSecurity>
  <Lines>25</Lines>
  <Paragraphs>7</Paragraphs>
  <ScaleCrop>false</ScaleCrop>
  <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2025-03-12T08:37:00Z</dcterms:created>
  <dcterms:modified xsi:type="dcterms:W3CDTF">2025-03-12T08:37:00Z</dcterms:modified>
</cp:coreProperties>
</file>