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C2B" w:rsidRDefault="00E43C2B">
      <w:pPr>
        <w:spacing w:afterLines="50" w:after="156" w:line="560" w:lineRule="exact"/>
        <w:jc w:val="center"/>
        <w:rPr>
          <w:rFonts w:ascii="方正小标宋简体" w:eastAsia="方正小标宋简体" w:hAnsi="宋体"/>
          <w:b/>
          <w:sz w:val="44"/>
          <w:szCs w:val="44"/>
        </w:rPr>
      </w:pPr>
      <w:bookmarkStart w:id="0" w:name="_GoBack"/>
      <w:bookmarkEnd w:id="0"/>
    </w:p>
    <w:p w:rsidR="00E43C2B" w:rsidRDefault="00E43C2B">
      <w:pPr>
        <w:pStyle w:val="3"/>
      </w:pPr>
    </w:p>
    <w:p w:rsidR="00E43C2B" w:rsidRDefault="00E43C2B">
      <w:pPr>
        <w:spacing w:afterLines="50" w:after="156" w:line="560" w:lineRule="exact"/>
        <w:jc w:val="center"/>
        <w:rPr>
          <w:rFonts w:ascii="方正小标宋简体" w:eastAsia="方正小标宋简体" w:hAnsi="宋体"/>
          <w:b/>
          <w:sz w:val="44"/>
          <w:szCs w:val="44"/>
        </w:rPr>
      </w:pPr>
    </w:p>
    <w:p w:rsidR="00E43C2B" w:rsidRDefault="00E43C2B">
      <w:pPr>
        <w:spacing w:afterLines="50" w:after="156" w:line="560" w:lineRule="exact"/>
        <w:jc w:val="center"/>
        <w:rPr>
          <w:rFonts w:ascii="方正小标宋简体" w:eastAsia="方正小标宋简体" w:hAnsi="宋体"/>
          <w:b/>
          <w:sz w:val="52"/>
          <w:szCs w:val="52"/>
        </w:rPr>
      </w:pPr>
    </w:p>
    <w:p w:rsidR="00E43C2B" w:rsidRDefault="00D53F9B">
      <w:pPr>
        <w:spacing w:after="156" w:line="560" w:lineRule="exact"/>
        <w:jc w:val="center"/>
        <w:textAlignment w:val="baseline"/>
        <w:rPr>
          <w:rFonts w:ascii="方正小标宋简体" w:eastAsia="方正小标宋简体" w:hAnsi="宋体" w:cs="Times New Roman"/>
          <w:bCs/>
          <w:sz w:val="44"/>
          <w:szCs w:val="44"/>
        </w:rPr>
      </w:pPr>
      <w:r w:rsidRPr="00D53F9B">
        <w:rPr>
          <w:rFonts w:ascii="方正小标宋简体" w:eastAsia="方正小标宋简体" w:hAnsi="宋体" w:cs="Times New Roman" w:hint="eastAsia"/>
          <w:bCs/>
          <w:sz w:val="44"/>
          <w:szCs w:val="44"/>
        </w:rPr>
        <w:t>学位授权点质量建设年度报告</w:t>
      </w:r>
    </w:p>
    <w:p w:rsidR="00E43C2B" w:rsidRDefault="00D8065E">
      <w:pPr>
        <w:pStyle w:val="3"/>
        <w:ind w:firstLineChars="1100" w:firstLine="3520"/>
      </w:pPr>
      <w:r>
        <w:rPr>
          <w:rFonts w:hint="eastAsia"/>
        </w:rPr>
        <w:t>（2022年）</w:t>
      </w:r>
    </w:p>
    <w:p w:rsidR="00E43C2B" w:rsidRDefault="00E43C2B">
      <w:pPr>
        <w:spacing w:after="156" w:line="560" w:lineRule="exact"/>
        <w:jc w:val="center"/>
        <w:textAlignment w:val="baseline"/>
        <w:rPr>
          <w:rFonts w:ascii="方正小标宋简体" w:eastAsia="方正小标宋简体" w:hAnsi="宋体" w:cs="Times New Roman"/>
          <w:bCs/>
          <w:sz w:val="44"/>
          <w:szCs w:val="44"/>
        </w:rPr>
      </w:pPr>
    </w:p>
    <w:p w:rsidR="00E43C2B" w:rsidRDefault="00E43C2B">
      <w:pPr>
        <w:snapToGrid w:val="0"/>
        <w:jc w:val="center"/>
        <w:textAlignment w:val="baseline"/>
        <w:rPr>
          <w:rFonts w:ascii="Times New Roman" w:eastAsia="宋体" w:hAnsi="Times New Roman" w:cs="Times New Roman"/>
          <w:b/>
          <w:sz w:val="48"/>
          <w:szCs w:val="20"/>
        </w:rPr>
      </w:pPr>
    </w:p>
    <w:p w:rsidR="00E43C2B" w:rsidRDefault="00E43C2B">
      <w:pPr>
        <w:snapToGrid w:val="0"/>
        <w:jc w:val="center"/>
        <w:textAlignment w:val="baseline"/>
        <w:rPr>
          <w:rFonts w:ascii="Times New Roman" w:eastAsia="宋体" w:hAnsi="Times New Roman" w:cs="Times New Roman"/>
          <w:b/>
          <w:sz w:val="48"/>
          <w:szCs w:val="20"/>
        </w:rPr>
      </w:pPr>
    </w:p>
    <w:p w:rsidR="00E43C2B" w:rsidRDefault="00E43C2B">
      <w:pPr>
        <w:snapToGrid w:val="0"/>
        <w:spacing w:line="300" w:lineRule="auto"/>
        <w:jc w:val="center"/>
        <w:textAlignment w:val="baseline"/>
        <w:rPr>
          <w:rFonts w:ascii="Times New Roman" w:eastAsia="宋体" w:hAnsi="Times New Roman" w:cs="Times New Roman"/>
          <w:b/>
          <w:szCs w:val="32"/>
        </w:rPr>
      </w:pPr>
    </w:p>
    <w:tbl>
      <w:tblPr>
        <w:tblW w:w="5490"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9"/>
        <w:gridCol w:w="3981"/>
      </w:tblGrid>
      <w:tr w:rsidR="00E43C2B">
        <w:trPr>
          <w:trHeight w:val="794"/>
          <w:jc w:val="center"/>
        </w:trPr>
        <w:tc>
          <w:tcPr>
            <w:tcW w:w="1507" w:type="dxa"/>
            <w:vMerge w:val="restart"/>
            <w:tcBorders>
              <w:top w:val="nil"/>
              <w:left w:val="nil"/>
              <w:bottom w:val="nil"/>
              <w:right w:val="single" w:sz="4" w:space="0" w:color="000000"/>
            </w:tcBorders>
            <w:vAlign w:val="center"/>
          </w:tcPr>
          <w:p w:rsidR="00E43C2B" w:rsidRDefault="00D8065E">
            <w:pPr>
              <w:snapToGrid w:val="0"/>
              <w:spacing w:line="240" w:lineRule="atLeast"/>
              <w:jc w:val="center"/>
              <w:textAlignment w:val="baseline"/>
              <w:rPr>
                <w:rFonts w:ascii="Times New Roman" w:eastAsia="宋体" w:hAnsi="Times New Roman" w:cs="Times New Roman"/>
                <w:b/>
                <w:spacing w:val="-10"/>
                <w:szCs w:val="32"/>
              </w:rPr>
            </w:pPr>
            <w:r>
              <w:rPr>
                <w:rFonts w:ascii="Times New Roman" w:eastAsia="宋体" w:hAnsi="Times New Roman" w:cs="Times New Roman"/>
                <w:b/>
                <w:spacing w:val="-10"/>
                <w:szCs w:val="32"/>
              </w:rPr>
              <w:t>高校</w:t>
            </w:r>
          </w:p>
          <w:p w:rsidR="00E43C2B" w:rsidRDefault="00D8065E">
            <w:pPr>
              <w:snapToGrid w:val="0"/>
              <w:spacing w:line="240" w:lineRule="atLeast"/>
              <w:jc w:val="center"/>
              <w:textAlignment w:val="baseline"/>
              <w:rPr>
                <w:rFonts w:ascii="Times New Roman" w:eastAsia="宋体" w:hAnsi="Times New Roman" w:cs="Times New Roman"/>
                <w:b/>
                <w:spacing w:val="-10"/>
                <w:szCs w:val="32"/>
              </w:rPr>
            </w:pPr>
            <w:r>
              <w:rPr>
                <w:rFonts w:ascii="Times New Roman" w:eastAsia="宋体" w:hAnsi="Times New Roman" w:cs="Times New Roman"/>
                <w:b/>
                <w:spacing w:val="-10"/>
                <w:szCs w:val="32"/>
              </w:rPr>
              <w:t>（公章）</w:t>
            </w:r>
          </w:p>
        </w:tc>
        <w:tc>
          <w:tcPr>
            <w:tcW w:w="3977" w:type="dxa"/>
            <w:tcBorders>
              <w:top w:val="nil"/>
              <w:left w:val="single" w:sz="4" w:space="0" w:color="000000"/>
              <w:bottom w:val="single" w:sz="4" w:space="0" w:color="000000"/>
              <w:right w:val="nil"/>
            </w:tcBorders>
            <w:vAlign w:val="center"/>
          </w:tcPr>
          <w:p w:rsidR="00E43C2B" w:rsidRDefault="00D8065E">
            <w:pPr>
              <w:snapToGrid w:val="0"/>
              <w:spacing w:line="300" w:lineRule="auto"/>
              <w:textAlignment w:val="baseline"/>
              <w:rPr>
                <w:rFonts w:ascii="Times New Roman" w:eastAsia="宋体" w:hAnsi="Times New Roman" w:cs="Times New Roman"/>
                <w:b/>
                <w:spacing w:val="-10"/>
                <w:szCs w:val="32"/>
              </w:rPr>
            </w:pPr>
            <w:r>
              <w:rPr>
                <w:rFonts w:ascii="Times New Roman" w:eastAsia="宋体" w:hAnsi="Times New Roman" w:cs="Times New Roman"/>
                <w:b/>
                <w:spacing w:val="-10"/>
                <w:szCs w:val="32"/>
              </w:rPr>
              <w:t>名称：应用经济学</w:t>
            </w:r>
          </w:p>
        </w:tc>
      </w:tr>
      <w:tr w:rsidR="00E43C2B">
        <w:trPr>
          <w:trHeight w:val="794"/>
          <w:jc w:val="center"/>
        </w:trPr>
        <w:tc>
          <w:tcPr>
            <w:tcW w:w="1507" w:type="dxa"/>
            <w:vMerge/>
            <w:tcBorders>
              <w:top w:val="nil"/>
              <w:left w:val="nil"/>
              <w:bottom w:val="nil"/>
              <w:right w:val="single" w:sz="4" w:space="0" w:color="000000"/>
            </w:tcBorders>
            <w:vAlign w:val="center"/>
          </w:tcPr>
          <w:p w:rsidR="00E43C2B" w:rsidRDefault="00E43C2B">
            <w:pPr>
              <w:widowControl/>
              <w:jc w:val="left"/>
              <w:rPr>
                <w:rFonts w:ascii="Times New Roman" w:eastAsia="宋体" w:hAnsi="Times New Roman" w:cs="Times New Roman"/>
                <w:b/>
                <w:spacing w:val="-10"/>
                <w:szCs w:val="32"/>
              </w:rPr>
            </w:pPr>
          </w:p>
        </w:tc>
        <w:tc>
          <w:tcPr>
            <w:tcW w:w="3977" w:type="dxa"/>
            <w:tcBorders>
              <w:top w:val="single" w:sz="4" w:space="0" w:color="000000"/>
              <w:left w:val="single" w:sz="4" w:space="0" w:color="000000"/>
              <w:bottom w:val="nil"/>
              <w:right w:val="nil"/>
            </w:tcBorders>
            <w:vAlign w:val="center"/>
          </w:tcPr>
          <w:p w:rsidR="00E43C2B" w:rsidRDefault="00D8065E">
            <w:pPr>
              <w:snapToGrid w:val="0"/>
              <w:spacing w:line="300" w:lineRule="auto"/>
              <w:textAlignment w:val="baseline"/>
              <w:rPr>
                <w:rFonts w:ascii="Times New Roman" w:eastAsia="宋体" w:hAnsi="Times New Roman" w:cs="Times New Roman"/>
                <w:b/>
                <w:spacing w:val="-10"/>
                <w:szCs w:val="32"/>
              </w:rPr>
            </w:pPr>
            <w:r>
              <w:rPr>
                <w:rFonts w:ascii="Times New Roman" w:eastAsia="宋体" w:hAnsi="Times New Roman" w:cs="Times New Roman"/>
                <w:b/>
                <w:spacing w:val="-10"/>
                <w:szCs w:val="32"/>
              </w:rPr>
              <w:t>代码：</w:t>
            </w:r>
            <w:r>
              <w:rPr>
                <w:rFonts w:ascii="Times New Roman" w:eastAsia="宋体" w:hAnsi="Times New Roman" w:cs="Times New Roman"/>
                <w:b/>
                <w:spacing w:val="-10"/>
                <w:szCs w:val="32"/>
              </w:rPr>
              <w:t>0202</w:t>
            </w:r>
          </w:p>
        </w:tc>
      </w:tr>
    </w:tbl>
    <w:p w:rsidR="00E43C2B" w:rsidRDefault="00E43C2B">
      <w:pPr>
        <w:snapToGrid w:val="0"/>
        <w:spacing w:line="300" w:lineRule="auto"/>
        <w:jc w:val="center"/>
        <w:textAlignment w:val="baseline"/>
        <w:rPr>
          <w:rFonts w:ascii="Times New Roman" w:eastAsia="宋体" w:hAnsi="Times New Roman" w:cs="Times New Roman"/>
          <w:b/>
          <w:sz w:val="48"/>
          <w:szCs w:val="20"/>
        </w:rPr>
      </w:pPr>
    </w:p>
    <w:p w:rsidR="00E43C2B" w:rsidRDefault="00E43C2B">
      <w:pPr>
        <w:spacing w:line="560" w:lineRule="exact"/>
        <w:jc w:val="center"/>
        <w:textAlignment w:val="baseline"/>
        <w:rPr>
          <w:rFonts w:ascii="Times New Roman" w:eastAsia="楷体_GB2312" w:hAnsi="Times New Roman" w:cs="Times New Roman"/>
          <w:b/>
          <w:sz w:val="30"/>
          <w:szCs w:val="30"/>
        </w:rPr>
      </w:pPr>
    </w:p>
    <w:p w:rsidR="00E43C2B" w:rsidRDefault="00E43C2B">
      <w:pPr>
        <w:widowControl/>
        <w:spacing w:line="600" w:lineRule="exact"/>
        <w:ind w:firstLineChars="200" w:firstLine="640"/>
        <w:rPr>
          <w:rFonts w:ascii="等线" w:hAnsi="等线" w:cs="Times New Roman"/>
        </w:rPr>
      </w:pPr>
    </w:p>
    <w:p w:rsidR="00E43C2B" w:rsidRDefault="00E43C2B">
      <w:pPr>
        <w:jc w:val="center"/>
        <w:rPr>
          <w:rFonts w:eastAsia="楷体_GB2312"/>
          <w:b/>
          <w:sz w:val="30"/>
          <w:szCs w:val="30"/>
        </w:rPr>
      </w:pPr>
    </w:p>
    <w:p w:rsidR="00E43C2B" w:rsidRDefault="00E43C2B">
      <w:pPr>
        <w:jc w:val="center"/>
        <w:rPr>
          <w:rFonts w:eastAsia="楷体_GB2312"/>
          <w:b/>
          <w:sz w:val="30"/>
          <w:szCs w:val="30"/>
        </w:rPr>
      </w:pPr>
    </w:p>
    <w:p w:rsidR="00E43C2B" w:rsidRDefault="00D8065E">
      <w:pPr>
        <w:jc w:val="center"/>
        <w:rPr>
          <w:rFonts w:ascii="方正小标宋简体" w:eastAsia="方正小标宋简体" w:hAnsi="宋体"/>
          <w:b/>
          <w:color w:val="000000"/>
          <w:sz w:val="44"/>
          <w:szCs w:val="44"/>
        </w:rPr>
      </w:pPr>
      <w:r>
        <w:rPr>
          <w:rFonts w:eastAsia="楷体_GB2312"/>
          <w:b/>
          <w:sz w:val="30"/>
          <w:szCs w:val="30"/>
        </w:rPr>
        <w:t>20</w:t>
      </w:r>
      <w:r>
        <w:rPr>
          <w:rFonts w:eastAsia="楷体_GB2312" w:hint="eastAsia"/>
          <w:b/>
          <w:sz w:val="30"/>
          <w:szCs w:val="30"/>
        </w:rPr>
        <w:t>2</w:t>
      </w:r>
      <w:r>
        <w:rPr>
          <w:rFonts w:eastAsia="楷体_GB2312"/>
          <w:b/>
          <w:sz w:val="30"/>
          <w:szCs w:val="30"/>
        </w:rPr>
        <w:t>3</w:t>
      </w:r>
      <w:r>
        <w:rPr>
          <w:rFonts w:eastAsia="楷体_GB2312" w:hint="eastAsia"/>
          <w:b/>
          <w:sz w:val="30"/>
          <w:szCs w:val="30"/>
        </w:rPr>
        <w:t>年</w:t>
      </w:r>
      <w:r>
        <w:rPr>
          <w:rFonts w:eastAsia="楷体_GB2312"/>
          <w:b/>
          <w:sz w:val="30"/>
          <w:szCs w:val="30"/>
        </w:rPr>
        <w:t>3</w:t>
      </w:r>
      <w:r>
        <w:rPr>
          <w:rFonts w:eastAsia="楷体_GB2312" w:hint="eastAsia"/>
          <w:b/>
          <w:sz w:val="30"/>
          <w:szCs w:val="30"/>
        </w:rPr>
        <w:t>月</w:t>
      </w:r>
      <w:r>
        <w:rPr>
          <w:rFonts w:eastAsia="楷体_GB2312"/>
          <w:b/>
          <w:sz w:val="30"/>
          <w:szCs w:val="30"/>
        </w:rPr>
        <w:t>5</w:t>
      </w:r>
      <w:r>
        <w:rPr>
          <w:rFonts w:eastAsia="楷体_GB2312" w:hint="eastAsia"/>
          <w:b/>
          <w:sz w:val="30"/>
          <w:szCs w:val="30"/>
        </w:rPr>
        <w:t>日</w:t>
      </w:r>
    </w:p>
    <w:p w:rsidR="00E43C2B" w:rsidRDefault="00D8065E">
      <w:pPr>
        <w:pStyle w:val="3"/>
      </w:pPr>
      <w:r>
        <w:rPr>
          <w:rFonts w:hint="eastAsia"/>
        </w:rPr>
        <w:br w:type="page"/>
      </w:r>
    </w:p>
    <w:p w:rsidR="00E43C2B" w:rsidRDefault="00D8065E">
      <w:pPr>
        <w:pStyle w:val="3"/>
        <w:spacing w:line="560" w:lineRule="exact"/>
        <w:ind w:firstLineChars="0" w:firstLine="0"/>
        <w:rPr>
          <w:b/>
          <w:bCs/>
        </w:rPr>
      </w:pPr>
      <w:r>
        <w:rPr>
          <w:rFonts w:hint="eastAsia"/>
          <w:b/>
          <w:bCs/>
        </w:rPr>
        <w:lastRenderedPageBreak/>
        <w:t>一、学位授权点基本情况</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暨南大学创立于1906年，目前是中央统战部、教育部、广东省共建的国家“双一流”建设高校，直属中央统战部管理。1918年，应南洋华侨需要开设商科。1980年由教育部批准成立经济学院，是全国高校最早成立的经济学院之一和全国第一批经济学硕士授权单位，1986年获批产业经济学博士点、1998年获批金融学博士点、1999年经批准设立应用经济学博士后流动站、2003年获批应用经济学一级学科博士点，均为华南地区高校之首获。产业经济学、金融学为国家重点学科，是全国应用经济学科为数不多的拥有两个以上国家二级重点学科的单位。2013 年被评为广东省一级攀峰重点学科。</w:t>
      </w:r>
    </w:p>
    <w:p w:rsidR="00E43C2B" w:rsidRDefault="00D8065E">
      <w:pPr>
        <w:pStyle w:val="3"/>
        <w:spacing w:line="560" w:lineRule="exact"/>
        <w:ind w:firstLine="480"/>
        <w:rPr>
          <w:rFonts w:ascii="仿宋" w:eastAsia="仿宋" w:hAnsi="仿宋"/>
          <w:sz w:val="24"/>
        </w:rPr>
      </w:pPr>
      <w:r>
        <w:rPr>
          <w:rFonts w:ascii="仿宋" w:eastAsia="仿宋" w:hAnsi="仿宋" w:hint="eastAsia"/>
          <w:sz w:val="24"/>
          <w:szCs w:val="24"/>
        </w:rPr>
        <w:t>近年来，暨南大学应用经济学科为国内进步最快的高校之一，在全国经济学界具有重要地位和影响。根据“2022泰晤士高等教育中国学科评级”，暨南大学应用经济学首次获评A-等级。</w:t>
      </w:r>
      <w:r>
        <w:rPr>
          <w:rFonts w:ascii="仿宋" w:eastAsia="仿宋" w:hAnsi="仿宋" w:hint="eastAsia"/>
          <w:sz w:val="24"/>
        </w:rPr>
        <w:t>根据“2022软科中国最好学科排名”，暨南大学应用经济学排名进入全国前5%，位列全国第10位；根据2022ESI全球排名，暨南大学经济学与商学首次进入前1%；根据“2022软科世界一流学科排名”，暨南大学经济学科世界排名第101-150位，中国内地排名第7位，广东省排名第1位。</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学校共有经济学院、经济与社会研究院和产业经济研究院参与应用经济学学位授权点建设。学科覆盖产业经济学、金融学、劳动经济学、区域经济、绿色经济与可持续发展等方向，其中，产业经济学、金融学为国家重点学科。高质量学术交流频繁，先后举办第二届城市与发展经济学前沿论坛、第二届数据科学与现代经济统计论坛、第三届粤港澳合作发展论坛、2021年中国技术经济学会知识产权专业委员会学术研讨会、第四届新兴经济体企业发展研讨会、第四届经济与社会研究院-全球劳动组织研讨会等1</w:t>
      </w:r>
      <w:r>
        <w:rPr>
          <w:rFonts w:ascii="仿宋" w:eastAsia="仿宋" w:hAnsi="仿宋"/>
          <w:sz w:val="24"/>
          <w:szCs w:val="24"/>
        </w:rPr>
        <w:t>7</w:t>
      </w:r>
      <w:r>
        <w:rPr>
          <w:rFonts w:ascii="仿宋" w:eastAsia="仿宋" w:hAnsi="仿宋" w:hint="eastAsia"/>
          <w:sz w:val="24"/>
          <w:szCs w:val="24"/>
        </w:rPr>
        <w:t>场高水平学术会议；邀请境内外知名高校学者进行各类学术讲座130余期，包括邀请了诺奖得主及来自斯坦福大学、耶鲁大学、芝加哥大学、哥伦比亚大学宾夕法尼亚大学、俄亥俄州立大学等高校的境</w:t>
      </w:r>
      <w:r>
        <w:rPr>
          <w:rFonts w:ascii="仿宋" w:eastAsia="仿宋" w:hAnsi="仿宋" w:hint="eastAsia"/>
          <w:sz w:val="24"/>
          <w:szCs w:val="24"/>
        </w:rPr>
        <w:lastRenderedPageBreak/>
        <w:t>外学者70余人次；国际合作平台高端，与诺奖得主赫克曼教授合作建立“人口流动与劳动经济学科创新引智基地”；与芝加哥大学共建“芝加哥-暨南人类发展研究联合计划”，展开全方位合作；将社会调查作为学术研究的重要抓手，设立社会调查中心，开展大型社会调查项目，覆盖中国城乡人口流动调查、中国家庭就业调查、广东千村调查等，为政策制定及学术研究提供高质量的微观数据库。</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2</w:t>
      </w:r>
      <w:r>
        <w:rPr>
          <w:rFonts w:ascii="仿宋" w:eastAsia="仿宋" w:hAnsi="仿宋"/>
          <w:sz w:val="24"/>
          <w:szCs w:val="24"/>
        </w:rPr>
        <w:t>021</w:t>
      </w:r>
      <w:r>
        <w:rPr>
          <w:rFonts w:ascii="仿宋" w:eastAsia="仿宋" w:hAnsi="仿宋" w:hint="eastAsia"/>
          <w:sz w:val="24"/>
          <w:szCs w:val="24"/>
        </w:rPr>
        <w:t>-</w:t>
      </w:r>
      <w:r>
        <w:rPr>
          <w:rFonts w:ascii="仿宋" w:eastAsia="仿宋" w:hAnsi="仿宋"/>
          <w:sz w:val="24"/>
          <w:szCs w:val="24"/>
        </w:rPr>
        <w:t>2022</w:t>
      </w:r>
      <w:r>
        <w:rPr>
          <w:rFonts w:ascii="仿宋" w:eastAsia="仿宋" w:hAnsi="仿宋" w:hint="eastAsia"/>
          <w:sz w:val="24"/>
          <w:szCs w:val="24"/>
        </w:rPr>
        <w:t>学年，应用经济学学位授权点共有博士在校生</w:t>
      </w:r>
      <w:r>
        <w:rPr>
          <w:rFonts w:ascii="仿宋" w:eastAsia="仿宋" w:hAnsi="仿宋"/>
          <w:sz w:val="24"/>
          <w:szCs w:val="24"/>
        </w:rPr>
        <w:t>129</w:t>
      </w:r>
      <w:r>
        <w:rPr>
          <w:rFonts w:ascii="仿宋" w:eastAsia="仿宋" w:hAnsi="仿宋" w:hint="eastAsia"/>
          <w:sz w:val="24"/>
          <w:szCs w:val="24"/>
        </w:rPr>
        <w:t xml:space="preserve">名、硕士在校生 </w:t>
      </w:r>
      <w:r>
        <w:rPr>
          <w:rFonts w:ascii="仿宋" w:eastAsia="仿宋" w:hAnsi="仿宋"/>
          <w:sz w:val="24"/>
          <w:szCs w:val="24"/>
        </w:rPr>
        <w:t>807</w:t>
      </w:r>
      <w:r>
        <w:rPr>
          <w:rFonts w:ascii="仿宋" w:eastAsia="仿宋" w:hAnsi="仿宋" w:hint="eastAsia"/>
          <w:sz w:val="24"/>
          <w:szCs w:val="24"/>
        </w:rPr>
        <w:t>名。招收博士研究生37名、硕士研究生</w:t>
      </w:r>
      <w:r>
        <w:rPr>
          <w:rFonts w:ascii="仿宋" w:eastAsia="仿宋" w:hAnsi="仿宋"/>
          <w:sz w:val="24"/>
          <w:szCs w:val="24"/>
        </w:rPr>
        <w:t>186</w:t>
      </w:r>
      <w:r>
        <w:rPr>
          <w:rFonts w:ascii="仿宋" w:eastAsia="仿宋" w:hAnsi="仿宋" w:hint="eastAsia"/>
          <w:sz w:val="24"/>
          <w:szCs w:val="24"/>
        </w:rPr>
        <w:t xml:space="preserve"> 名。毕业博士研究生</w:t>
      </w:r>
      <w:r>
        <w:rPr>
          <w:rFonts w:ascii="仿宋" w:eastAsia="仿宋" w:hAnsi="仿宋"/>
          <w:sz w:val="24"/>
          <w:szCs w:val="24"/>
        </w:rPr>
        <w:t>13</w:t>
      </w:r>
      <w:r>
        <w:rPr>
          <w:rFonts w:ascii="仿宋" w:eastAsia="仿宋" w:hAnsi="仿宋" w:hint="eastAsia"/>
          <w:sz w:val="24"/>
          <w:szCs w:val="24"/>
        </w:rPr>
        <w:t xml:space="preserve">名、硕士研究生 </w:t>
      </w:r>
      <w:r>
        <w:rPr>
          <w:rFonts w:ascii="仿宋" w:eastAsia="仿宋" w:hAnsi="仿宋"/>
          <w:sz w:val="24"/>
          <w:szCs w:val="24"/>
        </w:rPr>
        <w:t>125</w:t>
      </w:r>
      <w:r>
        <w:rPr>
          <w:rFonts w:ascii="仿宋" w:eastAsia="仿宋" w:hAnsi="仿宋" w:hint="eastAsia"/>
          <w:sz w:val="24"/>
          <w:szCs w:val="24"/>
        </w:rPr>
        <w:t>名。研究生就业情况良好，博士毕业生就业率实现 100%，硕士毕业生就业率达到 96.8%。</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 xml:space="preserve">我校应用经济学学位授权点拥有一支水平较高、结构合理、规模较大的研究生指导教师队伍，导师队伍总人数达到 </w:t>
      </w:r>
      <w:r>
        <w:rPr>
          <w:rFonts w:ascii="仿宋" w:eastAsia="仿宋" w:hAnsi="仿宋"/>
          <w:sz w:val="24"/>
          <w:szCs w:val="24"/>
        </w:rPr>
        <w:t>128</w:t>
      </w:r>
      <w:r>
        <w:rPr>
          <w:rFonts w:ascii="仿宋" w:eastAsia="仿宋" w:hAnsi="仿宋" w:hint="eastAsia"/>
          <w:sz w:val="24"/>
          <w:szCs w:val="24"/>
        </w:rPr>
        <w:t>人，导师岗位管理体制比较健全，考核机制完善。</w:t>
      </w:r>
    </w:p>
    <w:p w:rsidR="00E43C2B" w:rsidRDefault="00D8065E">
      <w:pPr>
        <w:rPr>
          <w:rFonts w:ascii="黑体" w:eastAsia="黑体" w:hAnsi="黑体"/>
        </w:rPr>
      </w:pPr>
      <w:r>
        <w:rPr>
          <w:rFonts w:ascii="黑体" w:eastAsia="黑体" w:hAnsi="黑体" w:hint="eastAsia"/>
        </w:rPr>
        <w:t>（一）培养目标</w:t>
      </w:r>
    </w:p>
    <w:p w:rsidR="00E43C2B" w:rsidRDefault="00D8065E">
      <w:pPr>
        <w:pStyle w:val="3"/>
        <w:spacing w:line="560" w:lineRule="exact"/>
        <w:ind w:firstLine="480"/>
      </w:pPr>
      <w:r>
        <w:rPr>
          <w:rFonts w:ascii="仿宋" w:eastAsia="仿宋" w:hAnsi="仿宋" w:hint="eastAsia"/>
          <w:sz w:val="24"/>
          <w:szCs w:val="24"/>
        </w:rPr>
        <w:t>本学位点致力于培养符合新时代中国特色社会主义建设要求，具有过硬政治思想素质和专业视野，具有高度社会责任感和较强创新能力，具备国际研究视野的高水平经济学人才，包括具有扎实的经济学专业理论知识、掌握完整的经济学理论体系、掌握现代经济学分析工具、能够追踪学术前沿并独立开展学术研究的学术型人才；具有较强社会责任感、较高专业素质、政治素养、科学文化素质的高素质企业人才。研究生毕业后能胜任高等院校、科研院所、党政机关、企事业单位等工作岗位。</w:t>
      </w:r>
    </w:p>
    <w:p w:rsidR="00E43C2B" w:rsidRDefault="00D8065E">
      <w:pPr>
        <w:pStyle w:val="3"/>
        <w:ind w:firstLineChars="0" w:firstLine="0"/>
      </w:pPr>
      <w:r>
        <w:rPr>
          <w:rFonts w:hint="eastAsia"/>
        </w:rPr>
        <w:t>（二）学位标准</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1.博士学位：具备坚实宽广的经济学科理论基础和专业知识、宽广的国际视野，系统掌握相关领域专业文献；跟踪学术前沿，深入了解国内外相关领域最新动态，能够创造性地提出新观点、理论、方法或创新性地利用最新研究成果解决</w:t>
      </w:r>
      <w:r>
        <w:rPr>
          <w:rFonts w:ascii="仿宋" w:eastAsia="仿宋" w:hAnsi="仿宋" w:hint="eastAsia"/>
          <w:sz w:val="24"/>
          <w:szCs w:val="24"/>
        </w:rPr>
        <w:lastRenderedPageBreak/>
        <w:t xml:space="preserve">重要的实际问题；具备较强的国际交流能力，能够独立从事应用经济学的教学工作；具备在相关领域独立从事学术研究的能力。 </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2.硕士学位：具备全面、扎实的经济学理论基础与专业知识，规范的学术训练，掌握本专业领域的基础研究成果，具备学术研究的基本能力；能够针对现实经济问题进行调查研究、设计方案、构建模型实证检验，并具有继续学习、创新、提高的基础和能力；较为熟练地掌握一门外语，能熟练地阅读本专业的文献资料，具有基本的国际交流能力；思维严谨，具有发现问题、提出问题和解决问题的基本能力，能从事中高层次实务工作。</w:t>
      </w:r>
    </w:p>
    <w:p w:rsidR="00E43C2B" w:rsidRDefault="00D8065E">
      <w:pPr>
        <w:pStyle w:val="3"/>
        <w:spacing w:line="560" w:lineRule="exact"/>
        <w:ind w:firstLine="480"/>
      </w:pPr>
      <w:r>
        <w:rPr>
          <w:rFonts w:ascii="仿宋" w:eastAsia="仿宋" w:hAnsi="仿宋" w:hint="eastAsia"/>
          <w:sz w:val="24"/>
          <w:szCs w:val="24"/>
        </w:rPr>
        <w:t>学位点推进了学术评价“破五唯”改革，进一步细化和完善了经济学研究生申请学位基本学术要求，具体细则要求自2020级研究生开始实行，体现了“学术性”多元化评价的基本思想，为学术型研究生做高水平科研提供正向激励和导向。</w:t>
      </w:r>
    </w:p>
    <w:p w:rsidR="00E43C2B" w:rsidRDefault="00D8065E">
      <w:pPr>
        <w:pStyle w:val="3"/>
        <w:spacing w:line="560" w:lineRule="exact"/>
        <w:ind w:firstLineChars="0" w:firstLine="0"/>
        <w:rPr>
          <w:b/>
          <w:bCs/>
        </w:rPr>
      </w:pPr>
      <w:r>
        <w:rPr>
          <w:rFonts w:hint="eastAsia"/>
          <w:b/>
          <w:bCs/>
        </w:rPr>
        <w:t>二、基本条件</w:t>
      </w:r>
    </w:p>
    <w:p w:rsidR="00E43C2B" w:rsidRDefault="00D8065E">
      <w:pPr>
        <w:rPr>
          <w:rFonts w:ascii="黑体" w:eastAsia="黑体" w:hAnsi="黑体"/>
        </w:rPr>
      </w:pPr>
      <w:r>
        <w:rPr>
          <w:rFonts w:ascii="黑体" w:eastAsia="黑体" w:hAnsi="黑体" w:hint="eastAsia"/>
        </w:rPr>
        <w:t>（一）培养方向与师资队伍</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近年来，应用经济学科坚持从海内外名校招揽优秀青年学者，致力于建设一支具备国际视野且立足本国现实国情、极具科研创造力的优秀人才队伍。经济学科持续深化人才制度改革，推动学科内涵式发展，新聘教师全面实施常任轨制度，旨在给予教师宽松的工作环境，充分激发其研究潜力。同时，建立对标国际的评聘机制与考评标准，使得教师在学术论文、科学项目研究等各方面都必须遵循高要求高标准，向国际标杆看齐。设立“暨南大学经济学科人才基金”，已获捐赠</w:t>
      </w:r>
      <w:r>
        <w:rPr>
          <w:rFonts w:ascii="仿宋" w:eastAsia="仿宋" w:hAnsi="仿宋"/>
          <w:sz w:val="24"/>
          <w:szCs w:val="24"/>
        </w:rPr>
        <w:t>634</w:t>
      </w:r>
      <w:r>
        <w:rPr>
          <w:rFonts w:ascii="仿宋" w:eastAsia="仿宋" w:hAnsi="仿宋" w:hint="eastAsia"/>
          <w:sz w:val="24"/>
          <w:szCs w:val="24"/>
        </w:rPr>
        <w:t>万，旨在引进优秀人才，助力经济学科从高原攀登高峰，冲击“国际一流经济学科”方阵。</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学位点拥有专职教师128人，其中国家重大人才工程领军人才、国家特支计划等省部级以上人才40余人次；博士生导师45人，硕士生导师57人；有境外学历或进修经历教师占比71.9%。</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为了进一步提升经济学科的发展潜力，走在相关新兴学科发展前列，2</w:t>
      </w:r>
      <w:r>
        <w:rPr>
          <w:rFonts w:ascii="仿宋" w:eastAsia="仿宋" w:hAnsi="仿宋"/>
          <w:sz w:val="24"/>
          <w:szCs w:val="24"/>
        </w:rPr>
        <w:t>022</w:t>
      </w:r>
      <w:r>
        <w:rPr>
          <w:rFonts w:ascii="仿宋" w:eastAsia="仿宋" w:hAnsi="仿宋" w:hint="eastAsia"/>
          <w:sz w:val="24"/>
          <w:szCs w:val="24"/>
        </w:rPr>
        <w:t>年新增自主设置的两个二级学科“国家金融学”和“中观经济学”。为推动两个学科的建设和发展，广发证券公益基金会在暨南大学设立了专门的学科发展基金。</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各培养方向带头人与学术骨干如下：</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1.金融学</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刘少波：中国金融学年会理事会理事；广东经济学会副会长，广东第三产业研究会副会长，广东学位委员会委员，广东政府发展研究中心特约研究员。广东省教学名师，全国金融专业学位研究生教指委委员，主持国家社科重点项目等国家级项目多项，获教育部人文社科优秀成果三等奖等省部级成果奖7项。</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蒋海：暨南大学经济学院副院长，教授，博士生导师。教育部金融学类教学指导委员会委员；中国金融学年会理事；中国国际金融学会理事；广东省金融学专业本科高校教学指导委员会副主任委员，广东金融学会专家委员会副主任委员；广州市财政咨询专家；国家自然科学基金、《经济研究》、Journal of Corporate Finance等基金和权威杂志评审专家。主要研究金融监管、公司治理和金融机构管理，近年来在《经济研究》、《管理世界》、China Economic Review等权威期刊发表论文40余篇，主持国家自然科学基金等国家和省部级研究课题18项，获得广东省哲学社会科学优秀成果一等奖、广东省教学成果二等奖等十多项省部级奖励。</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2.产业经济学</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胡军：暨南大学原校长，中国工业经济学会副会长，中国企业管理研究会副理事长，2002年获国务院特殊贡献专家津贴。调研报告“广东工业产业竞争力研究”获2005年广东省人文社会科学成果奖一等奖，教育部第四届中国高校人文社会科学研究优秀成果二等奖。著作《中国区域协调发展机制体系研究》获2017年广东省哲学社会科学优秀成果一等奖。</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顾乃华：中国工业经济学会副理事长，中国工业经济学会竞争政策专业委员会委员。国家社科重大项目首席专家，省级人才计划入选者，广东省文科重点实验室主任，主持各类项目60多项。</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陶锋：中国工业经济学会副理事长，广东省体制改革研究会副秘书长，国家社科重大、重点项目首席专家，在《经济研究》等期刊发表论文多篇，获广东省哲学社会科学优秀成果一等奖。</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陈林：国家级人才、“珠江学者”特聘教授，广东省专业镇发展促进会副会长，曾获安子介国际贸易研究奖二等奖、广东省哲学社会科学优秀成果奖一等奖、广东省优秀博士学位论文奖。</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3.劳动经济学</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冯帅章：</w:t>
      </w:r>
      <w:r>
        <w:rPr>
          <w:rFonts w:ascii="仿宋" w:eastAsia="仿宋" w:hAnsi="仿宋" w:hint="eastAsia"/>
          <w:i/>
          <w:iCs/>
          <w:sz w:val="24"/>
          <w:szCs w:val="24"/>
        </w:rPr>
        <w:t>Journal of Population Economics</w:t>
      </w:r>
      <w:r>
        <w:rPr>
          <w:rFonts w:ascii="仿宋" w:eastAsia="仿宋" w:hAnsi="仿宋" w:hint="eastAsia"/>
          <w:sz w:val="24"/>
          <w:szCs w:val="24"/>
        </w:rPr>
        <w:t xml:space="preserve">共同主编，世界计量经济学会亚洲委员会成员。国家级重大人才工程领军人才、教育部重大人才工程领军人才、国家杰出青年科学基金获得者。共发表超过20篇匿名评审国际学术期刊论文，包括经济学领域顶级刊物《美国经济评论》，科学界权威刊物《美国科学院院刊》，以及国内经济学领域权威杂志《经济研究》《经济学季刊》等。 </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王春超： 广东经济学会副会长；中国劳动学会劳动科学教育分会常务理事。国家级人才计划入选者，国家社科重大项目首席专家，获教育部人文社科优秀成果奖二等奖、全国青年教师教学竞赛二等奖等。</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4.区域经济学</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覃成林：全国经济地理研究会顾问，中国区域经济学会常务理事及学科建设委员会副主任。主持国家社科基金重大项目2项，获教育部人文社科优秀成果奖三等奖，在《中国社会科学》《成果要报》等发表论文多篇。</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武文杰：入选教育部国家级人才，国际中国规划协会全球联席理事长（外联委员会主席、欧洲区主席），世界银行项目咨询专家。曾任英国高校终身副教授，主持国家社科基金重大项目、国家自科基金3项，在国际一流期刊发表论文30余篇。</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5.绿色经济与可持续发展</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何凌云：中国优选法统筹法与经济数学研究会理事，Computational</w:t>
      </w:r>
      <w:r>
        <w:rPr>
          <w:rFonts w:ascii="仿宋" w:eastAsia="仿宋" w:hAnsi="仿宋" w:hint="eastAsia"/>
          <w:i/>
          <w:iCs/>
          <w:sz w:val="24"/>
          <w:szCs w:val="24"/>
        </w:rPr>
        <w:t xml:space="preserve"> Economics</w:t>
      </w:r>
      <w:r>
        <w:rPr>
          <w:rFonts w:ascii="仿宋" w:eastAsia="仿宋" w:hAnsi="仿宋" w:hint="eastAsia"/>
          <w:sz w:val="24"/>
          <w:szCs w:val="24"/>
        </w:rPr>
        <w:t xml:space="preserve"> (SSCI,SCI) 副主编，主持国家社科重大、重点项目各1项，国家自然科学基金4 项，发表高水平论文100余篇。</w:t>
      </w:r>
    </w:p>
    <w:p w:rsidR="00E43C2B" w:rsidRDefault="00D8065E">
      <w:pPr>
        <w:pStyle w:val="3"/>
        <w:spacing w:line="560" w:lineRule="exact"/>
        <w:ind w:firstLine="480"/>
        <w:rPr>
          <w:rFonts w:ascii="仿宋" w:eastAsia="仿宋" w:hAnsi="仿宋"/>
          <w:sz w:val="24"/>
          <w:szCs w:val="24"/>
        </w:rPr>
      </w:pPr>
      <w:r>
        <w:rPr>
          <w:rFonts w:ascii="仿宋" w:eastAsia="仿宋" w:hAnsi="仿宋"/>
          <w:sz w:val="24"/>
          <w:szCs w:val="24"/>
        </w:rPr>
        <w:t>6.</w:t>
      </w:r>
      <w:r>
        <w:rPr>
          <w:rFonts w:ascii="仿宋" w:eastAsia="仿宋" w:hAnsi="仿宋" w:hint="eastAsia"/>
          <w:sz w:val="24"/>
          <w:szCs w:val="24"/>
        </w:rPr>
        <w:t>国家金融学</w:t>
      </w:r>
    </w:p>
    <w:p w:rsidR="00E43C2B" w:rsidRDefault="00D8065E">
      <w:pPr>
        <w:pStyle w:val="3"/>
        <w:spacing w:line="560" w:lineRule="exact"/>
        <w:ind w:firstLine="480"/>
        <w:rPr>
          <w:rFonts w:ascii="仿宋" w:eastAsia="仿宋" w:hAnsi="仿宋"/>
          <w:sz w:val="24"/>
          <w:szCs w:val="24"/>
          <w:highlight w:val="yellow"/>
        </w:rPr>
      </w:pPr>
      <w:r>
        <w:rPr>
          <w:rFonts w:ascii="仿宋" w:eastAsia="仿宋" w:hAnsi="仿宋" w:hint="eastAsia"/>
          <w:sz w:val="24"/>
          <w:szCs w:val="24"/>
        </w:rPr>
        <w:t>陈云贤：北京大学经济学博士，高级经济师，享受国务院特殊津贴专家，哈佛大学、香港理工大学、北京大学、中山大学、暨南大学等客座教授、研究员，博士生导师。中国知名券商广发证券创始人。曾任广东省副省长，佛山市常务副市长、市长、市委书记、市人大常委会主任，佛山市顺德区委书记。著有《国家金融学》、《市场竞争双重主体论—兼谈中观经济学的创立与发展》等经济学、金融学中英文著作20余本。在《经济研究》、《经济学家》等杂志发表专业论文百余篇。</w:t>
      </w:r>
    </w:p>
    <w:p w:rsidR="00E43C2B" w:rsidRDefault="00D8065E">
      <w:pPr>
        <w:rPr>
          <w:rFonts w:ascii="黑体" w:eastAsia="黑体" w:hAnsi="黑体"/>
        </w:rPr>
      </w:pPr>
      <w:r>
        <w:rPr>
          <w:rFonts w:ascii="黑体" w:eastAsia="黑体" w:hAnsi="黑体" w:hint="eastAsia"/>
        </w:rPr>
        <w:t xml:space="preserve">（二）科研项目 </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本学科科研实力雄厚，本年度围绕国家和地方经济社会发展的重大战略需求及前沿热点问题，获批了一批高层次科研项目，产出了一批有影响力的学术成果。学院修订了《暨南大学经济学院科研贡献奖评选条例》，激励教师攀登科研高峰，产出原创性、高水平的代表性科研成果。学院围绕“组大团队，拿大项目”的科研发展思路，制定了国家社科重大项目申报的激励制度，对国家社科重大项目申报团队给予绩效激励。</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本年度，学院共获批国家项目17项，其中国家社科项目4项（含重大项目1项），国家自科项目13项；获批教育部人文社科研究项目5项；获批省级、厅局级项目及企事业单位委托项目40余项。</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我院教师面向学科前沿、国家重大战略需求进行了深入研究并产生了一系列高水平的研究成果。研究成果发表在各领域重要期刊。2022年，我院教师在A类期刊发表论文共计130余篇，包括《经济研究》、《经济学（季刊）》、《金融研究》、《世界经济》、《统计研究》、The Economic Journal、Journal of Econometrics 、Journal of the American Statistical Association、Journal of Economic Geography，Statistica Sinica，Journal of Economic Geography，Journal of Environmental Economics and Management，Journal of  Business &amp; Economic Statistics等国内外权威期刊论文50余篇。</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 xml:space="preserve">学院统筹规划各级、各类学术活动，显著提升学术交流活动的频率与质量。本年度学院主办高水平学术会议6场；举办名师讲座12期，国家金融学讲座9期，行业前沿讲座8期，“学习贯彻党的二十大精神，推动高质量发展”专题讲座2期，经济学、金融学、统计学、财贸、区域科学5个系列Seminar共36期；邀请学科评议组成员、基金评审专家及国家级人才40余人。 </w:t>
      </w:r>
    </w:p>
    <w:p w:rsidR="00E43C2B" w:rsidRDefault="00D8065E">
      <w:pPr>
        <w:pStyle w:val="3"/>
        <w:spacing w:line="560" w:lineRule="exact"/>
        <w:ind w:firstLineChars="0" w:firstLine="0"/>
      </w:pPr>
      <w:r>
        <w:rPr>
          <w:rFonts w:hint="eastAsia"/>
        </w:rPr>
        <w:t>（三）教学科研条件</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本学位点获批教育部、国家外国专家局“人口流动与劳动经济学科创新引智基地”1个；</w:t>
      </w:r>
      <w:r>
        <w:rPr>
          <w:rFonts w:ascii="仿宋" w:eastAsia="仿宋" w:hAnsi="仿宋"/>
          <w:bCs/>
          <w:sz w:val="24"/>
          <w:szCs w:val="24"/>
        </w:rPr>
        <w:t>广东省人文社科重点研究基地</w:t>
      </w:r>
      <w:r>
        <w:rPr>
          <w:rFonts w:ascii="仿宋" w:eastAsia="仿宋" w:hAnsi="仿宋" w:hint="eastAsia"/>
          <w:bCs/>
          <w:sz w:val="24"/>
          <w:szCs w:val="24"/>
        </w:rPr>
        <w:t>3个 ，其中</w:t>
      </w:r>
      <w:r>
        <w:rPr>
          <w:rFonts w:ascii="仿宋" w:eastAsia="仿宋" w:hAnsi="仿宋"/>
          <w:bCs/>
          <w:sz w:val="24"/>
          <w:szCs w:val="24"/>
        </w:rPr>
        <w:t>金融研究所、广东产业发展与粤港澳台区域合作研究中心被评为</w:t>
      </w:r>
      <w:r>
        <w:rPr>
          <w:rFonts w:ascii="仿宋" w:eastAsia="仿宋" w:hAnsi="仿宋" w:hint="eastAsia"/>
          <w:bCs/>
          <w:sz w:val="24"/>
          <w:szCs w:val="24"/>
        </w:rPr>
        <w:t>省级</w:t>
      </w:r>
      <w:r>
        <w:rPr>
          <w:rFonts w:ascii="仿宋" w:eastAsia="仿宋" w:hAnsi="仿宋"/>
          <w:bCs/>
          <w:sz w:val="24"/>
          <w:szCs w:val="24"/>
        </w:rPr>
        <w:t>优秀基</w:t>
      </w:r>
      <w:r>
        <w:rPr>
          <w:rFonts w:ascii="仿宋" w:eastAsia="仿宋" w:hAnsi="仿宋" w:hint="eastAsia"/>
          <w:bCs/>
          <w:sz w:val="24"/>
          <w:szCs w:val="24"/>
        </w:rPr>
        <w:t>地和</w:t>
      </w:r>
      <w:r>
        <w:rPr>
          <w:rFonts w:ascii="仿宋" w:eastAsia="仿宋" w:hAnsi="仿宋"/>
          <w:bCs/>
          <w:sz w:val="24"/>
          <w:szCs w:val="24"/>
        </w:rPr>
        <w:t>省级重点提升平台，资源环境与可持续发展研究所被评为国家级重点培育平台。</w:t>
      </w:r>
    </w:p>
    <w:p w:rsidR="00E43C2B" w:rsidRDefault="00D8065E">
      <w:pPr>
        <w:pStyle w:val="3"/>
        <w:spacing w:line="560" w:lineRule="exact"/>
        <w:ind w:firstLine="480"/>
        <w:rPr>
          <w:rFonts w:ascii="仿宋" w:eastAsia="仿宋" w:hAnsi="仿宋"/>
          <w:bCs/>
          <w:sz w:val="24"/>
        </w:rPr>
      </w:pPr>
      <w:r>
        <w:rPr>
          <w:rFonts w:ascii="仿宋" w:eastAsia="仿宋" w:hAnsi="仿宋" w:hint="eastAsia"/>
          <w:sz w:val="24"/>
          <w:szCs w:val="24"/>
        </w:rPr>
        <w:t>获批共建“广州南沙自由贸易试验区研究基地”等若干研究基地；拥有1 个国家级实验教学示范中心，广东省重点实验室2个；广东产业转型升级协同创新中心是首批认定的广东省国家级协同创新平台，开发建设“广东产业发展数据库”。</w:t>
      </w:r>
    </w:p>
    <w:p w:rsidR="00E43C2B" w:rsidRDefault="00D8065E">
      <w:pPr>
        <w:pStyle w:val="3"/>
        <w:spacing w:line="560" w:lineRule="exact"/>
        <w:ind w:firstLine="480"/>
      </w:pPr>
      <w:r>
        <w:rPr>
          <w:rFonts w:ascii="仿宋" w:eastAsia="仿宋" w:hAnsi="仿宋" w:hint="eastAsia"/>
          <w:sz w:val="24"/>
          <w:szCs w:val="24"/>
        </w:rPr>
        <w:t>学科与美国芝加哥大学人类发展经济学研究中心共同创建“芝加哥-暨南大学人类发展研究联合计划”，由诺奖得主赫克曼教授及学科带头人冯帅章教授担任共同负责人，在人才培养与学生国际交流开展深度合作；着力打造两个稳定的国际学术交流平台，即“亚洲区域创新与合作论坛”（中日韩泰）和“改革、转型与增长国际论坛”；与英国斯克莱德大学商学院、美国内布拉斯加大学等4所院校签订院级合作备忘录与交流互访协议。学科积极贯彻学校“国际化办学”战略，注重开拓学生的国际视野，鼓励并资助优秀研究生参加各类国际学术交流，有120多人次的学生赴境外参加国际学术会议或学术交流。</w:t>
      </w:r>
    </w:p>
    <w:p w:rsidR="00E43C2B" w:rsidRDefault="00D8065E">
      <w:pPr>
        <w:rPr>
          <w:rFonts w:ascii="黑体" w:eastAsia="黑体" w:hAnsi="黑体"/>
        </w:rPr>
      </w:pPr>
      <w:r>
        <w:rPr>
          <w:rFonts w:ascii="黑体" w:eastAsia="黑体" w:hAnsi="黑体" w:hint="eastAsia"/>
        </w:rPr>
        <w:t>（四）资助体系</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研究生奖学金包括研究生国家奖学金、学业奖学金、综合类奖学金以及社会类奖学金，研究生助学金包括研究生国家助学金、“三助”津贴、博士津贴、困难补助金等，奖助金 100%覆盖全体研究生。</w:t>
      </w:r>
      <w:r>
        <w:rPr>
          <w:rFonts w:ascii="仿宋" w:eastAsia="仿宋" w:hAnsi="仿宋" w:hint="eastAsia"/>
          <w:sz w:val="24"/>
          <w:szCs w:val="24"/>
        </w:rPr>
        <w:cr/>
      </w:r>
      <w:r>
        <w:rPr>
          <w:rFonts w:ascii="仿宋" w:eastAsia="仿宋" w:hAnsi="仿宋"/>
          <w:sz w:val="24"/>
          <w:szCs w:val="24"/>
        </w:rPr>
        <w:t xml:space="preserve">    </w:t>
      </w:r>
      <w:r>
        <w:rPr>
          <w:rFonts w:ascii="仿宋" w:eastAsia="仿宋" w:hAnsi="仿宋" w:hint="eastAsia"/>
          <w:sz w:val="24"/>
          <w:szCs w:val="24"/>
        </w:rPr>
        <w:t>博士研究生人均奖助金超过 43000 元/年，硕士研究生人均奖助金超过 13000 元/年。同时，每年还遴选国家奖学金人选，博士研究生国家奖学金奖励标准为每生每年 3 万元；硕士研究生国家奖学金奖励标准为每生每年 2 万元。鼓励校友和社会单位设立综合类奖学金，如 “张元元经济学创新奖励基金”“邓瑞林奖学金”等系列奖助学金。</w:t>
      </w:r>
    </w:p>
    <w:p w:rsidR="00E43C2B" w:rsidRDefault="00D8065E">
      <w:pPr>
        <w:pStyle w:val="3"/>
        <w:spacing w:line="560" w:lineRule="exact"/>
        <w:ind w:firstLineChars="0" w:firstLine="0"/>
        <w:rPr>
          <w:b/>
          <w:bCs/>
        </w:rPr>
      </w:pPr>
      <w:r>
        <w:rPr>
          <w:rFonts w:hint="eastAsia"/>
          <w:b/>
          <w:bCs/>
        </w:rPr>
        <w:t>三、人才培养</w:t>
      </w:r>
    </w:p>
    <w:p w:rsidR="00E43C2B" w:rsidRDefault="00D8065E">
      <w:pPr>
        <w:rPr>
          <w:rFonts w:ascii="黑体" w:eastAsia="黑体" w:hAnsi="黑体"/>
        </w:rPr>
      </w:pPr>
      <w:r>
        <w:rPr>
          <w:rFonts w:ascii="黑体" w:eastAsia="黑体" w:hAnsi="黑体" w:hint="eastAsia"/>
        </w:rPr>
        <w:t>（一）招生选拔</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应用经济学学科优势明显、师资力量雄厚、办学质量优良、社会影响广泛，学科排名在国内位居前列，大部分专业一直都是暨大最热门的报考专业之一。</w:t>
      </w:r>
    </w:p>
    <w:p w:rsidR="00E43C2B" w:rsidRDefault="00D8065E">
      <w:pPr>
        <w:pStyle w:val="3"/>
        <w:spacing w:line="560" w:lineRule="exact"/>
        <w:ind w:firstLine="480"/>
      </w:pPr>
      <w:r>
        <w:rPr>
          <w:rFonts w:ascii="仿宋" w:eastAsia="仿宋" w:hAnsi="仿宋" w:hint="eastAsia"/>
          <w:sz w:val="24"/>
          <w:szCs w:val="24"/>
        </w:rPr>
        <w:t>学位点博士招考以申请审核和硕博连读为主要方式，采取多元化的审核评价标准，全方位考察考生的综合素质和科研水平，没有公开发表论文，提供相关专业的高质量工作论文亦可。</w:t>
      </w:r>
    </w:p>
    <w:p w:rsidR="00E43C2B" w:rsidRDefault="00D8065E">
      <w:pPr>
        <w:pStyle w:val="3"/>
        <w:spacing w:line="560" w:lineRule="exact"/>
        <w:ind w:firstLine="480"/>
        <w:rPr>
          <w:rFonts w:ascii="仿宋" w:eastAsia="仿宋" w:hAnsi="仿宋"/>
          <w:sz w:val="24"/>
          <w:szCs w:val="24"/>
          <w:highlight w:val="yellow"/>
        </w:rPr>
      </w:pPr>
      <w:r>
        <w:rPr>
          <w:rFonts w:ascii="仿宋" w:eastAsia="仿宋" w:hAnsi="仿宋" w:hint="eastAsia"/>
          <w:sz w:val="24"/>
          <w:szCs w:val="24"/>
        </w:rPr>
        <w:t>近年来，学位点成为了全国硕士研究生招生报考最激烈的专业之一。报名推免人数逐年明显增加，2</w:t>
      </w:r>
      <w:r>
        <w:rPr>
          <w:rFonts w:ascii="仿宋" w:eastAsia="仿宋" w:hAnsi="仿宋"/>
          <w:sz w:val="24"/>
          <w:szCs w:val="24"/>
        </w:rPr>
        <w:t>022</w:t>
      </w:r>
      <w:r>
        <w:rPr>
          <w:rFonts w:ascii="仿宋" w:eastAsia="仿宋" w:hAnsi="仿宋" w:hint="eastAsia"/>
          <w:sz w:val="24"/>
          <w:szCs w:val="24"/>
        </w:rPr>
        <w:t>年报名人数较上一年增加了6</w:t>
      </w:r>
      <w:r>
        <w:rPr>
          <w:rFonts w:ascii="仿宋" w:eastAsia="仿宋" w:hAnsi="仿宋"/>
          <w:sz w:val="24"/>
          <w:szCs w:val="24"/>
        </w:rPr>
        <w:t>8</w:t>
      </w:r>
      <w:r>
        <w:rPr>
          <w:rFonts w:ascii="仿宋" w:eastAsia="仿宋" w:hAnsi="仿宋" w:hint="eastAsia"/>
          <w:sz w:val="24"/>
          <w:szCs w:val="24"/>
        </w:rPr>
        <w:t>%，达到1</w:t>
      </w:r>
      <w:r>
        <w:rPr>
          <w:rFonts w:ascii="仿宋" w:eastAsia="仿宋" w:hAnsi="仿宋"/>
          <w:sz w:val="24"/>
          <w:szCs w:val="24"/>
        </w:rPr>
        <w:t>762</w:t>
      </w:r>
      <w:r>
        <w:rPr>
          <w:rFonts w:ascii="仿宋" w:eastAsia="仿宋" w:hAnsi="仿宋" w:hint="eastAsia"/>
          <w:sz w:val="24"/>
          <w:szCs w:val="24"/>
        </w:rPr>
        <w:t>人，为进一步做好推免生的择优录取工作，下一年学位点将进一步提高推免生的申请条件和要求。2</w:t>
      </w:r>
      <w:r>
        <w:rPr>
          <w:rFonts w:ascii="仿宋" w:eastAsia="仿宋" w:hAnsi="仿宋"/>
          <w:sz w:val="24"/>
          <w:szCs w:val="24"/>
        </w:rPr>
        <w:t>022</w:t>
      </w:r>
      <w:r>
        <w:rPr>
          <w:rFonts w:ascii="仿宋" w:eastAsia="仿宋" w:hAnsi="仿宋" w:hint="eastAsia"/>
          <w:sz w:val="24"/>
          <w:szCs w:val="24"/>
        </w:rPr>
        <w:t>年统考指标为5</w:t>
      </w:r>
      <w:r>
        <w:rPr>
          <w:rFonts w:ascii="仿宋" w:eastAsia="仿宋" w:hAnsi="仿宋"/>
          <w:sz w:val="24"/>
          <w:szCs w:val="24"/>
        </w:rPr>
        <w:t>8</w:t>
      </w:r>
      <w:r>
        <w:rPr>
          <w:rFonts w:ascii="仿宋" w:eastAsia="仿宋" w:hAnsi="仿宋" w:hint="eastAsia"/>
          <w:sz w:val="24"/>
          <w:szCs w:val="24"/>
        </w:rPr>
        <w:t>人，报名人数为7</w:t>
      </w:r>
      <w:r>
        <w:rPr>
          <w:rFonts w:ascii="仿宋" w:eastAsia="仿宋" w:hAnsi="仿宋"/>
          <w:sz w:val="24"/>
          <w:szCs w:val="24"/>
        </w:rPr>
        <w:t>58</w:t>
      </w:r>
      <w:r>
        <w:rPr>
          <w:rFonts w:ascii="仿宋" w:eastAsia="仿宋" w:hAnsi="仿宋" w:hint="eastAsia"/>
          <w:sz w:val="24"/>
          <w:szCs w:val="24"/>
        </w:rPr>
        <w:t>人，考录比为1</w:t>
      </w:r>
      <w:r>
        <w:rPr>
          <w:rFonts w:ascii="仿宋" w:eastAsia="仿宋" w:hAnsi="仿宋"/>
          <w:sz w:val="24"/>
          <w:szCs w:val="24"/>
        </w:rPr>
        <w:t>3.07</w:t>
      </w:r>
      <w:r>
        <w:rPr>
          <w:rFonts w:ascii="仿宋" w:eastAsia="仿宋" w:hAnsi="仿宋" w:hint="eastAsia"/>
          <w:sz w:val="24"/>
          <w:szCs w:val="24"/>
        </w:rPr>
        <w:t>:</w:t>
      </w:r>
      <w:r>
        <w:rPr>
          <w:rFonts w:ascii="仿宋" w:eastAsia="仿宋" w:hAnsi="仿宋"/>
          <w:sz w:val="24"/>
          <w:szCs w:val="24"/>
        </w:rPr>
        <w:t>1</w:t>
      </w:r>
      <w:r>
        <w:rPr>
          <w:rFonts w:ascii="仿宋" w:eastAsia="仿宋" w:hAnsi="仿宋" w:hint="eastAsia"/>
          <w:sz w:val="24"/>
          <w:szCs w:val="24"/>
        </w:rPr>
        <w:t>。</w:t>
      </w:r>
    </w:p>
    <w:p w:rsidR="00E43C2B" w:rsidRDefault="00D8065E">
      <w:pPr>
        <w:rPr>
          <w:rFonts w:ascii="黑体" w:eastAsia="黑体" w:hAnsi="黑体"/>
        </w:rPr>
      </w:pPr>
      <w:r>
        <w:rPr>
          <w:rFonts w:ascii="黑体" w:eastAsia="黑体" w:hAnsi="黑体" w:hint="eastAsia"/>
        </w:rPr>
        <w:t>（二）党建和思政教育</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本学位点在习近平总书记两度视察广东、粤港澳大湾区战略推进的大好形势下，深入贯彻习近平总书记亲临暨南大学所作重要讲话精神，全面落实教育部“三全育人”改革部署，为学科建设立心，为人才培养铸魂，践行社会主义大学育人使命，做法如下：</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一是擦亮“侨”牌。本学科立足百年暨南“面向海外、面向港澳台”办学方向，针对内地生、港澳台侨生和留学生特点，在“至臻学业，多元共融”校园文化氛围中，将“分类培养、分流教学、同相融合”的侨校育人模式具化、做细、落实大思政。通过“红色基因·学生党员先锋培育计划”、“信仰启航”“先锋示范”“卓越领航”三大工程，培养“有家国情怀、有过硬本领、有国际视野”的又红又专优秀学科人才；通过实施“优秀港澳台侨学生学业精进砥砺前行培养工程”、组建“港澳台侨学生国情社情考察团”，引导港澳台侨学生增强“四个认同”。</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二是传承“政”统。溯源于50 年代设立的政治经济学专业，应用经济学始终在马克思主义世界观、方法论和经济思想指导下确立起“讲政治”的优良传统，通过课程思政改革固本而开新：将“四个自信”寓于《中国特色社会主义经济理论专题》、“四史”教育纳入《中国经济史》等课堂的教学设计；通过《商业伦理》、《经济研究方法论》等课程的学习和实训，培育社会主义核心价值观，将思政元素和育人宗旨细化分解到专业培养计划中。通过建章立制，严格规范教材、授课、科研、学术交流、师资引进等各个方面与环节，营造风清气正的网络环境，全天候全方位，确保意识形态阵地管理无漏洞。将学科发展、基层党建、思政教育，围绕“立德树人”，统“单”“分”为“合”“全”，成为一体化的社会主义建设者育人平台。</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三是教人以“德”。育人先修身，高标准建设学科师资队伍。以《师德师风考核实施办》、“经济学院特殊贡献奖”、“教师党支部‘双带头人’培育计划”、“青年教师能力提升工作坊”、“课程思政名师工作室”为切入点和着力点，用好考评“指挥棒”，发挥“头雁”引领作用。与延安干部培训学院合作，全员培训与骨干培养相结合，开展以课程思政为主题的教师培训。</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四是学在应“用”。具体依托经济管理国家级教学实验示范中心、社会调查中心，发挥实践课堂育人功能；打造“广东千村调查”“‘百企千人’港澳青年学生实习计划”“南粤炊烟·行走课堂”等社会实践育人品牌，为学生创造充分认识和研究社会的机会，培养乡土意识和爱国情怀。通过“名师下午茶”科研实践分享，培养学术操守；聆听“经院校友大讲堂”，了解业界前沿，学习职业道德。</w:t>
      </w:r>
    </w:p>
    <w:p w:rsidR="00E43C2B" w:rsidRDefault="00D8065E">
      <w:pPr>
        <w:rPr>
          <w:rFonts w:ascii="黑体" w:eastAsia="黑体" w:hAnsi="黑体"/>
        </w:rPr>
      </w:pPr>
      <w:r>
        <w:rPr>
          <w:rFonts w:ascii="黑体" w:eastAsia="黑体" w:hAnsi="黑体" w:hint="eastAsia"/>
        </w:rPr>
        <w:t>（三）课程与教材</w:t>
      </w:r>
    </w:p>
    <w:p w:rsidR="00E43C2B" w:rsidRDefault="00D8065E">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学位点深入学习贯彻国家关于学位与研究生教育的相关文件，依据“第四次科技革命”、粤港澳大湾区发展战略、“一带一路”倡议等对学位与研究生教育的影响与需求，贯彻落实创新创业教育理念，通过系列举措提升应用经济学学位点的课程教学质量。</w:t>
      </w:r>
    </w:p>
    <w:p w:rsidR="00E43C2B" w:rsidRDefault="00D8065E">
      <w:pPr>
        <w:pStyle w:val="3"/>
        <w:spacing w:line="560" w:lineRule="exact"/>
        <w:ind w:firstLineChars="0"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1.精准“对标”，凸显特色，契合国家人才培养目标，完善课程架构、推进分层培养、修订培养方案，每一门研究生课程都制定了详细的教学大纲。</w:t>
      </w:r>
    </w:p>
    <w:p w:rsidR="00E43C2B" w:rsidRDefault="00D8065E">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1）进一步完善“学校+学科+专业”三级课程架构，完善分类、分层培养。学术学位研究生培养，注重课程内容的前沿性，实现科教融合，强化研究生的科研方法训练、学术素质培养和国际学术交流能力的提高。故课程设置既注重打牢研究生的基础理论，又注重学生对学科专业前沿跟踪、了解与掌握。层次上博士研究生培养注重其学术创新性能力，硕士研究生注重培养其应用性能力，专业学位突出对行业实践前沿、职业能力要求的关注，探索多种形式、行之有效的实践教学方式。</w:t>
      </w:r>
    </w:p>
    <w:p w:rsidR="00E43C2B" w:rsidRDefault="00D8065E">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①博士研究生总学分要求调整为2</w:t>
      </w:r>
      <w:r>
        <w:rPr>
          <w:rFonts w:ascii="仿宋" w:eastAsia="仿宋" w:hAnsi="仿宋" w:cs="宋体"/>
          <w:color w:val="auto"/>
          <w:kern w:val="0"/>
          <w:sz w:val="24"/>
          <w:szCs w:val="24"/>
        </w:rPr>
        <w:t>3</w:t>
      </w:r>
      <w:r>
        <w:rPr>
          <w:rFonts w:ascii="仿宋" w:eastAsia="仿宋" w:hAnsi="仿宋" w:cs="宋体" w:hint="eastAsia"/>
          <w:color w:val="auto"/>
          <w:kern w:val="0"/>
          <w:sz w:val="24"/>
          <w:szCs w:val="24"/>
        </w:rPr>
        <w:t>学分。扩充博士学位课程《高级微观经济学》《高级宏观经济学》《高级计量经济学》教学内容，调整为共300课时12学分，培养学生更扎实的理论基础。</w:t>
      </w:r>
    </w:p>
    <w:p w:rsidR="00E43C2B" w:rsidRDefault="00D8065E">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 xml:space="preserve">②增设《中国特色社会主义经济理论专题》《中观经济学》《国家金融学》等经济学科的基础理论课程。强化学术诚信、学术规范和学术道德教育，把论文写作指导课程作为必修课，增设《学术规范与论文撰写》。 </w:t>
      </w:r>
    </w:p>
    <w:p w:rsidR="00E43C2B" w:rsidRDefault="00D8065E">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2）汇聚师资队伍，创新课程内涵，以一流师资团队组建高质量课程组。“三高”课程为主体的课程组具有合理的年龄结构，资深教授与优秀青年教师有机组合，形成一支有卓越科研能力、有丰富教学经验的教学团队。“三高”课程实施统一教学大纲、统一教案、统一命题和考试，统一阅卷，并以“三高”课程成绩作为奖学金评定的重要依据之一，对学术学位研究生实行高标准的教学培养。</w:t>
      </w:r>
    </w:p>
    <w:p w:rsidR="00E43C2B" w:rsidRDefault="00D8065E">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3）加大对课程建设与教学改革的激励与支持。深化教师薪酬制度改革，提高了研究生课程建设和教学工作在绩效工资分配中的比重，着重加大对基础性学位课的课程建设力度，表彰成效突出的教师，评选年度优秀授课教师。统筹使用各类经费，加大对研究生课程建设，增设设立三高课程学生教学助理，打造研究生“金课”。</w:t>
      </w:r>
    </w:p>
    <w:p w:rsidR="00E43C2B" w:rsidRDefault="00D8065E">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4）实施“立体式”课程教学评价与培养质量监督机制。根据《暨南大学研究生课程教学质量评估办法》，学位点设计研究生课程网上评教问卷、召开博士研究生座谈会，全面推进研究生课程教学质量评估工作。从教师投入、教学控制、教学效果三方面，对老师的履职、教学内容、教学方法、教学水平及教学效果进行评估。建立“院系领导+专家”双层研究生教育督导委员会，采取“常规督导”和“专项督导”方式，对研究生培养的全过程进行监督指导，优化质量保障体系、提升教学质量。</w:t>
      </w:r>
    </w:p>
    <w:p w:rsidR="00E43C2B" w:rsidRDefault="00D8065E">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5）加强研究生的学术交流和文献阅读指导。通过“柔性引进”方式聘请知名高校学者或行业内专家学者为研究生授课、讲座。本年度，主办高水平学术会议6场；举办名师讲座12期，国家金融学讲座9期，举办学术报告（Seminar）</w:t>
      </w:r>
      <w:r>
        <w:rPr>
          <w:rFonts w:ascii="仿宋" w:eastAsia="仿宋" w:hAnsi="仿宋" w:cs="宋体"/>
          <w:color w:val="auto"/>
          <w:kern w:val="0"/>
          <w:sz w:val="24"/>
          <w:szCs w:val="24"/>
        </w:rPr>
        <w:t>36</w:t>
      </w:r>
      <w:r>
        <w:rPr>
          <w:rFonts w:ascii="仿宋" w:eastAsia="仿宋" w:hAnsi="仿宋" w:cs="宋体" w:hint="eastAsia"/>
          <w:color w:val="auto"/>
          <w:kern w:val="0"/>
          <w:sz w:val="24"/>
          <w:szCs w:val="24"/>
        </w:rPr>
        <w:t>场；邀请学科评议组成员、基金评审专家及国家级人才40余人。设立博士研究生学术沙龙，由中青年教师深度参与指导博士研究生开展文献阅读、论文研讨等。</w:t>
      </w:r>
    </w:p>
    <w:p w:rsidR="00E43C2B" w:rsidRDefault="00D8065E">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2.加强过程管理，学位点率先推行博士生须参加博士生资格考试，博士生资格考试要求具体参照《理论经济学、应用经济学博士研究生（内招）资格考试管理办法（试行）》。资格考试通过后，方能参加中期考核。</w:t>
      </w:r>
    </w:p>
    <w:p w:rsidR="00E43C2B" w:rsidRDefault="00D8065E">
      <w:pPr>
        <w:pStyle w:val="3"/>
        <w:spacing w:line="560" w:lineRule="exact"/>
        <w:ind w:firstLine="480"/>
      </w:pPr>
      <w:r>
        <w:rPr>
          <w:rFonts w:ascii="仿宋" w:eastAsia="仿宋" w:hAnsi="仿宋" w:cs="宋体" w:hint="eastAsia"/>
          <w:color w:val="auto"/>
          <w:kern w:val="0"/>
          <w:sz w:val="24"/>
          <w:szCs w:val="24"/>
        </w:rPr>
        <w:t>3.进一步加强中期考核管理。中期考核安排在开题报告之后进行，依据论文答辩的标准，进行论文的阶段进展报告。专业学位中期考核则进一步加强对实践能力的考核。</w:t>
      </w:r>
    </w:p>
    <w:p w:rsidR="00E43C2B" w:rsidRDefault="00D8065E">
      <w:pPr>
        <w:rPr>
          <w:rFonts w:ascii="黑体" w:eastAsia="黑体" w:hAnsi="黑体"/>
        </w:rPr>
      </w:pPr>
      <w:r>
        <w:rPr>
          <w:rFonts w:ascii="黑体" w:eastAsia="黑体" w:hAnsi="黑体" w:hint="eastAsia"/>
        </w:rPr>
        <w:t>（四）学术训练</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制度保障和经费支持：依据《暨南大学研究生国际交流与合作管理规定（试行）》和《暨南大学关于资助研究生参加国际学术会议管理规定》，鼓励在校研究生公派出国（境）攻读学位，与国（境）外高校或科研机构进行联合培养、合作科研，出国（境）外参加学术会议或技术培训等。</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长期聘请国内外知名学者为研究生开设讲座和开设短期培训班，鼓励并资助研究生参加“应用微观计量经济学暑期培训班”等暑期培训班和国内外优秀学术论坛等。</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学位点要求导师组建论文研讨小组，每两周开展一次论文研讨会。全体博士研究生每周一次开展“博士学术沙龙”，开展文献学习、工具使用、学术论文发表、学术交流等学习交流。通过举办讲座、沙龙、比赛等形式，积极开展研究生创新创业教育项目（以下称“第二课堂品牌项目”）培育活动，全面推进研究生的创新创业教育项目并给予一定经费资助。</w:t>
      </w:r>
    </w:p>
    <w:p w:rsidR="00E43C2B" w:rsidRDefault="00D8065E">
      <w:pPr>
        <w:pStyle w:val="3"/>
        <w:spacing w:line="560" w:lineRule="exact"/>
        <w:ind w:firstLine="480"/>
        <w:rPr>
          <w:rFonts w:ascii="仿宋" w:eastAsia="仿宋" w:hAnsi="仿宋"/>
          <w:sz w:val="24"/>
          <w:szCs w:val="24"/>
        </w:rPr>
      </w:pPr>
      <w:r>
        <w:rPr>
          <w:rFonts w:ascii="仿宋" w:eastAsia="仿宋" w:hAnsi="仿宋"/>
          <w:sz w:val="24"/>
          <w:szCs w:val="24"/>
        </w:rPr>
        <w:t>导师管理全面贯彻党的教育方针，把立德树人作为研究生导师的首要职责，落实导师是研究生培养第一责任人的要求</w:t>
      </w:r>
      <w:r>
        <w:rPr>
          <w:rFonts w:ascii="仿宋" w:eastAsia="仿宋" w:hAnsi="仿宋" w:hint="eastAsia"/>
          <w:sz w:val="24"/>
          <w:szCs w:val="24"/>
        </w:rPr>
        <w:t>。严格按照</w:t>
      </w:r>
      <w:r>
        <w:rPr>
          <w:rFonts w:ascii="仿宋" w:eastAsia="仿宋" w:hAnsi="仿宋"/>
          <w:sz w:val="24"/>
          <w:szCs w:val="24"/>
        </w:rPr>
        <w:t>《暨南大学研究生指导教师岗位管理办法（试行）》对导师队伍</w:t>
      </w:r>
      <w:r>
        <w:rPr>
          <w:rFonts w:ascii="仿宋" w:eastAsia="仿宋" w:hAnsi="仿宋" w:hint="eastAsia"/>
          <w:sz w:val="24"/>
          <w:szCs w:val="24"/>
        </w:rPr>
        <w:t>进行</w:t>
      </w:r>
      <w:r>
        <w:rPr>
          <w:rFonts w:ascii="仿宋" w:eastAsia="仿宋" w:hAnsi="仿宋"/>
          <w:sz w:val="24"/>
          <w:szCs w:val="24"/>
        </w:rPr>
        <w:t>选聘、培训、考核，</w:t>
      </w:r>
      <w:r>
        <w:rPr>
          <w:rFonts w:ascii="仿宋" w:eastAsia="仿宋" w:hAnsi="仿宋" w:hint="eastAsia"/>
          <w:sz w:val="24"/>
          <w:szCs w:val="24"/>
        </w:rPr>
        <w:t>对</w:t>
      </w:r>
      <w:r>
        <w:rPr>
          <w:rFonts w:ascii="仿宋" w:eastAsia="仿宋" w:hAnsi="仿宋"/>
          <w:sz w:val="24"/>
          <w:szCs w:val="24"/>
        </w:rPr>
        <w:t>导师指导研究生的制度要求和执行进行明确规定。强化研究生导师基本素质要求，制定了导师选聘的基本条件与要求，遴选政治素质过硬，师德师风高尚，业务素质精湛，能教书育人，为人师表，团结协作的导师队伍，明确研究生导师立德树人职责。健全研究生导师评价激励机制，实施导师招生岗位审核监督和岗位动态调整与退出机制，加强导师上岗岗前培训制度和合作导师制，加强对新导师的指导和培训，以保证研究生培训质量。</w:t>
      </w:r>
    </w:p>
    <w:p w:rsidR="00E43C2B" w:rsidRDefault="00D8065E">
      <w:pPr>
        <w:spacing w:line="560" w:lineRule="exact"/>
        <w:ind w:firstLineChars="200" w:firstLine="480"/>
      </w:pPr>
      <w:r>
        <w:rPr>
          <w:rFonts w:ascii="仿宋" w:eastAsia="仿宋" w:hAnsi="仿宋" w:hint="eastAsia"/>
          <w:sz w:val="24"/>
        </w:rPr>
        <w:t>学科依托国家级平台聘请了来自美国、澳大利亚、新加坡等高校的一批杰出学者担任特聘教授。其中包括：诺贝尔经济学奖得主，美国芝加哥大学 James Heckman 教授；美国人文与科学院院士 Mark Rosenzweig 教授；国家高端外专项目入选者、美国俄亥俄州立大学 Mark Partridge 教授；澳大利亚社会科学院院士、澳大利亚国立大学孟昕教授；国 际顶级期刊 Management Science 副主编 Sumit Agarwal 教授、杨立岩教授；顶级期刊 Journal of Economic Literature 主编、美国芝加哥大学 Steven Durlauf 教授等 30 余人。这些特聘教授与本学位点专职导师共同开展研究生指导工作，在课程教学、学术沙龙、论文撰写与发表乃至学生职业发展规划等方面进行全方位指导。</w:t>
      </w:r>
    </w:p>
    <w:p w:rsidR="00E43C2B" w:rsidRDefault="00D8065E">
      <w:pPr>
        <w:rPr>
          <w:rFonts w:ascii="黑体" w:eastAsia="黑体" w:hAnsi="黑体"/>
        </w:rPr>
      </w:pPr>
      <w:r>
        <w:rPr>
          <w:rFonts w:ascii="黑体" w:eastAsia="黑体" w:hAnsi="黑体" w:hint="eastAsia"/>
        </w:rPr>
        <w:t>（五）学术交流</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本年度，学科积极贯彻学校“国际化办学”战略，多次主办、承办国际或全国性学术交流会，包括粤港澳合作发展论坛、城市与发展经济学前沿论坛、数据科学与现代经济统计论坛、暨南大学–新加坡管理大学–亚洲金融与经济研究局联合城市与区域经济学会议、中国技术经济学会知识产权专业委员会学术研讨会等具有较大影响力的经济学学术论坛；促进与国（境）外高校、科研机构的学术交流与科研合作，打造国际化人才培养及交流平台，提高研究生的培养质量，规范我校出国留学研究生选拔、派出和管理工作，制定《暨南大学研究生国际交流与合作管理规定（试行）》和《暨南大学关于资助研究生参加国际学术会议管理规定》，以鼓励在校研究生公派出国（境）攻读学位，与国（境）外高校或科研机构进行联合培养、合作科研，出国（境）外参加学术会议或技术培训等。</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学科着力打造多个国际学术交流平台，包括“亚洲区域创新与合作论坛（RICA）”（由暨南大学经济学院与日本立命馆大学、韩国釜山大学、泰国国家发展研究院共同主办）和“改革、转型与增长国际论坛（RTG）”（由暨南大学经济学院与俄罗斯国立莫斯科大学、匈牙利布达佩斯考文纽斯大学、塞尔维亚贝尔格莱德亚洲研究中心共同主办）；与英国斯克莱德大学商学院、美国内布拉斯加大学等4所院校签订院级合作备忘录与交流互访协议。学科还开设了经济学系列seminar、金融学系列seminar、区域经济学系列seminar、财贸经济学系列seminar、产业经济学系列seminar以及经济学名师大讲堂。</w:t>
      </w:r>
    </w:p>
    <w:p w:rsidR="00E43C2B" w:rsidRDefault="00D8065E">
      <w:pPr>
        <w:pStyle w:val="3"/>
        <w:spacing w:line="560" w:lineRule="exact"/>
        <w:ind w:firstLine="480"/>
      </w:pPr>
      <w:r>
        <w:rPr>
          <w:rFonts w:ascii="仿宋" w:eastAsia="仿宋" w:hAnsi="仿宋" w:hint="eastAsia"/>
          <w:sz w:val="24"/>
          <w:szCs w:val="24"/>
        </w:rPr>
        <w:t>注重开拓学生的国际视野，借助高水平大学及学科平台建设经费鼓励与资助师生参加国际、国内学术交流论坛及会议。与美国耶鲁大学、俄亥俄州立大学、新加坡国立大学、法国巴黎第七大学、日本神户商科大学等国外知名高校保持较经常的学术往来。通过“暨南大学讲座教授”方式聘请英国东安格利亚大学、香港中文大学、新加坡国立大学等经济学者与学位点青年教师、博士生开展科研合作。</w:t>
      </w:r>
    </w:p>
    <w:p w:rsidR="00E43C2B" w:rsidRDefault="00D8065E">
      <w:pPr>
        <w:rPr>
          <w:rFonts w:ascii="黑体" w:eastAsia="黑体" w:hAnsi="黑体"/>
        </w:rPr>
      </w:pPr>
      <w:r>
        <w:rPr>
          <w:rFonts w:ascii="黑体" w:eastAsia="黑体" w:hAnsi="黑体" w:hint="eastAsia"/>
        </w:rPr>
        <w:t>（六）学风建设</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 xml:space="preserve">加强研究生科学道德和学术规范教育建设工作，制定了《暨南大学关于研究生学位论文学术不端行为预防及处理暂行办法》，对属于学术不端行为进行处理。从新生入学开始，就通过开展科学道德和学术规范方面的宣讲会议、专题讲座进行教育，并在研究生培养体制机制上进行完善，通过毕业论文开题、中期检查、毕业论文预审查、多次论文查重和论文抽查等方式确保研究生论文质量，及时避免学术不端行为出现。在博士生和硕士生中全面开设《学术规范与论文撰写》必修课程，切实提升研究生科学道德和学术规范意识。 </w:t>
      </w:r>
    </w:p>
    <w:p w:rsidR="00E43C2B" w:rsidRDefault="00D8065E">
      <w:pPr>
        <w:pStyle w:val="3"/>
        <w:spacing w:line="560" w:lineRule="exact"/>
        <w:ind w:firstLine="480"/>
        <w:rPr>
          <w:rFonts w:ascii="仿宋" w:eastAsia="仿宋" w:hAnsi="仿宋"/>
          <w:sz w:val="24"/>
          <w:szCs w:val="24"/>
        </w:rPr>
      </w:pPr>
      <w:r>
        <w:rPr>
          <w:rFonts w:ascii="仿宋" w:eastAsia="仿宋" w:hAnsi="仿宋"/>
          <w:sz w:val="24"/>
          <w:szCs w:val="24"/>
        </w:rPr>
        <w:t>本学位点建立完善的研究生开题、中期考核、预答辩和论文答辩管理制度和程序。通过在研究生不同培养阶段设置论文开题、中期考核、综合考试、论文预答辩及正式答辩等培养环节</w:t>
      </w:r>
      <w:r>
        <w:rPr>
          <w:rFonts w:ascii="仿宋" w:eastAsia="仿宋" w:hAnsi="仿宋" w:hint="eastAsia"/>
          <w:sz w:val="24"/>
          <w:szCs w:val="24"/>
        </w:rPr>
        <w:t>，</w:t>
      </w:r>
      <w:r>
        <w:rPr>
          <w:rFonts w:ascii="仿宋" w:eastAsia="仿宋" w:hAnsi="仿宋"/>
          <w:sz w:val="24"/>
          <w:szCs w:val="24"/>
        </w:rPr>
        <w:t>对暂时无法完成相应环节或确定不适宜继续培养的研究生采取相应的分流淘汰措施</w:t>
      </w:r>
      <w:r>
        <w:rPr>
          <w:rFonts w:ascii="仿宋" w:eastAsia="仿宋" w:hAnsi="仿宋" w:hint="eastAsia"/>
          <w:sz w:val="24"/>
          <w:szCs w:val="24"/>
        </w:rPr>
        <w:t>。</w:t>
      </w:r>
      <w:r>
        <w:rPr>
          <w:rFonts w:ascii="仿宋" w:eastAsia="仿宋" w:hAnsi="仿宋"/>
          <w:sz w:val="24"/>
          <w:szCs w:val="24"/>
        </w:rPr>
        <w:t>分流淘汰措施的严格执行，在最大限度上保证了研究生的培养质量，同时也对研究生在学期间的每个培养环节进行严格把关，并对研究生整体论文开展进度实施有效督促。</w:t>
      </w:r>
    </w:p>
    <w:p w:rsidR="00E43C2B" w:rsidRDefault="00D8065E">
      <w:pPr>
        <w:pStyle w:val="3"/>
        <w:spacing w:line="560" w:lineRule="exact"/>
        <w:ind w:firstLine="480"/>
      </w:pPr>
      <w:r>
        <w:rPr>
          <w:rFonts w:ascii="仿宋" w:eastAsia="仿宋" w:hAnsi="仿宋" w:hint="eastAsia"/>
          <w:sz w:val="24"/>
          <w:szCs w:val="24"/>
        </w:rPr>
        <w:t>为保证本学科研究生学位论文质量，学位点与研究生部同时对学位论文层层把关，主要措施包括：（1）对所有博士、硕士学位论文在提交评阅申请前进行学术不端行为检测、全文格式严格审查，对达不到要求者坚决不予送审；</w:t>
      </w:r>
      <w:r>
        <w:rPr>
          <w:rFonts w:ascii="仿宋" w:eastAsia="仿宋" w:hAnsi="仿宋"/>
          <w:sz w:val="24"/>
          <w:szCs w:val="24"/>
        </w:rPr>
        <w:t>对于正式查重结果要求博士</w:t>
      </w:r>
      <w:r>
        <w:rPr>
          <w:rFonts w:ascii="仿宋" w:eastAsia="仿宋" w:hAnsi="仿宋" w:hint="eastAsia"/>
          <w:sz w:val="24"/>
          <w:szCs w:val="24"/>
        </w:rPr>
        <w:t>学位论文</w:t>
      </w:r>
      <w:r>
        <w:rPr>
          <w:rFonts w:ascii="仿宋" w:eastAsia="仿宋" w:hAnsi="仿宋"/>
          <w:sz w:val="24"/>
          <w:szCs w:val="24"/>
        </w:rPr>
        <w:t>≤10%，硕士</w:t>
      </w:r>
      <w:r>
        <w:rPr>
          <w:rFonts w:ascii="仿宋" w:eastAsia="仿宋" w:hAnsi="仿宋" w:hint="eastAsia"/>
          <w:sz w:val="24"/>
          <w:szCs w:val="24"/>
        </w:rPr>
        <w:t>学位论文</w:t>
      </w:r>
      <w:r>
        <w:rPr>
          <w:rFonts w:ascii="仿宋" w:eastAsia="仿宋" w:hAnsi="仿宋"/>
          <w:sz w:val="24"/>
          <w:szCs w:val="24"/>
        </w:rPr>
        <w:t>≤20%，均比学校研究生院要求的结果要低10个百分点</w:t>
      </w:r>
      <w:r>
        <w:rPr>
          <w:rFonts w:ascii="仿宋" w:eastAsia="仿宋" w:hAnsi="仿宋" w:hint="eastAsia"/>
          <w:sz w:val="24"/>
          <w:szCs w:val="24"/>
        </w:rPr>
        <w:t>；（2）实行预答辩（审查）和双盲评审制度，对博士论文盲评严格要求，评阅有1票不通过的，博士生本人可对评阅意见提出申诉，分委会审核通过的将组织校外3名正高同行专家对申诉材料进行评议，评议通过后方能补送论文盲评；（3）对学位论文答辩是否通过，进行无记名投票表决，还需对是否同意毕业进行投票，答辩委员会的整体表决结论是答辩通过方同意毕业。本学位点授予学位100%通过国家、省的学位论文抽检。</w:t>
      </w:r>
    </w:p>
    <w:p w:rsidR="00E43C2B" w:rsidRDefault="00D8065E">
      <w:pPr>
        <w:rPr>
          <w:rFonts w:ascii="黑体" w:eastAsia="黑体" w:hAnsi="黑体"/>
        </w:rPr>
      </w:pPr>
      <w:r>
        <w:rPr>
          <w:rFonts w:ascii="黑体" w:eastAsia="黑体" w:hAnsi="黑体" w:hint="eastAsia"/>
        </w:rPr>
        <w:t>（七）培养成效</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本学科“三全育人”综合改革探索日见成效，侨校模式、五育并举的“大思政”育人格局和长效机制已然形成。</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育人有保障，党委全面领导作用突出：学院党委获批“广东省党建工作标杆院系”培育创建单位、广东省教育科学“十三五”规划党建研究项目立项，党建工作案例获教育部全国高校“两学一做”学生党支部精品工作案例、广东省高校基层党建工作创新案例二等奖。院系党组织“守好责任田”，主动担负起政治责任和领导责任，牢牢把握住意识形态阵地主导权。学科党建工作扎实有力，品牌效应突出，基层党组织战斗堡垒作用和共产党员的先锋模范作用充分发挥，为凝聚各方力量、提升“大思政”育人合力提供了强大的体制保障，讲政治的传统优势转化为提升思政工作水平和育人质量的持久动力。</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育人有思路，学科特色思政体系建立：学科“三全育人”综合改革的政治、思想、行动自觉意识显著提升，教师、管理人员、校友和家长协调联动，同心同向发力的良好育人局面已形成。思政育人品牌特色鲜明、亮点突出，多次被作为典型案例和先进做法进行推广。其中，“千村调查项目”累计招募三百余名学子组队前往3000余户农村家庭，走进田间地头，了解社会民生，获广东卫视专题报道。优秀港澳台侨学生学业精进砥砺前行培养工程辐射2700余港澳台侨学生。荣获全国五四红旗团支部、广东省高校学生工作优秀团队、广东省五四红旗团委等。</w:t>
      </w:r>
    </w:p>
    <w:p w:rsidR="00E43C2B" w:rsidRDefault="00D8065E">
      <w:pPr>
        <w:pStyle w:val="3"/>
        <w:spacing w:line="560" w:lineRule="exact"/>
        <w:ind w:firstLine="480"/>
      </w:pPr>
      <w:r>
        <w:rPr>
          <w:rFonts w:ascii="仿宋" w:eastAsia="仿宋" w:hAnsi="仿宋" w:hint="eastAsia"/>
          <w:sz w:val="24"/>
          <w:szCs w:val="24"/>
        </w:rPr>
        <w:t>育人有成效，学生全面发展素质提升：</w:t>
      </w:r>
      <w:r>
        <w:rPr>
          <w:rFonts w:ascii="仿宋" w:eastAsia="仿宋" w:hAnsi="仿宋"/>
          <w:sz w:val="24"/>
          <w:szCs w:val="24"/>
        </w:rPr>
        <w:t xml:space="preserve"> </w:t>
      </w:r>
      <w:r>
        <w:rPr>
          <w:rFonts w:ascii="仿宋" w:eastAsia="仿宋" w:hAnsi="仿宋" w:hint="eastAsia"/>
          <w:sz w:val="24"/>
          <w:szCs w:val="24"/>
        </w:rPr>
        <w:t>30余人次获省部级以上表彰奖励，学生社会实践和创新创业成果丰硕，发表学术论文近</w:t>
      </w:r>
      <w:r>
        <w:rPr>
          <w:rFonts w:ascii="仿宋" w:eastAsia="仿宋" w:hAnsi="仿宋"/>
          <w:sz w:val="24"/>
          <w:szCs w:val="24"/>
        </w:rPr>
        <w:t>1</w:t>
      </w:r>
      <w:r>
        <w:rPr>
          <w:rFonts w:ascii="仿宋" w:eastAsia="仿宋" w:hAnsi="仿宋" w:hint="eastAsia"/>
          <w:sz w:val="24"/>
          <w:szCs w:val="24"/>
        </w:rPr>
        <w:t>00多篇，学生</w:t>
      </w:r>
      <w:r>
        <w:rPr>
          <w:rFonts w:ascii="仿宋" w:eastAsia="仿宋" w:hAnsi="仿宋"/>
          <w:sz w:val="24"/>
          <w:szCs w:val="24"/>
        </w:rPr>
        <w:t>1</w:t>
      </w:r>
      <w:r>
        <w:rPr>
          <w:rFonts w:ascii="仿宋" w:eastAsia="仿宋" w:hAnsi="仿宋" w:hint="eastAsia"/>
          <w:sz w:val="24"/>
          <w:szCs w:val="24"/>
        </w:rPr>
        <w:t>人次获 “全国五一劳动奖章”、</w:t>
      </w:r>
      <w:r>
        <w:rPr>
          <w:rFonts w:ascii="仿宋" w:eastAsia="仿宋" w:hAnsi="仿宋"/>
          <w:sz w:val="24"/>
          <w:szCs w:val="24"/>
        </w:rPr>
        <w:t xml:space="preserve"> 1</w:t>
      </w:r>
      <w:r>
        <w:rPr>
          <w:rFonts w:ascii="仿宋" w:eastAsia="仿宋" w:hAnsi="仿宋" w:hint="eastAsia"/>
          <w:sz w:val="24"/>
          <w:szCs w:val="24"/>
        </w:rPr>
        <w:t>人次获“中国青年五四奖章”、</w:t>
      </w:r>
      <w:r>
        <w:rPr>
          <w:rFonts w:ascii="仿宋" w:eastAsia="仿宋" w:hAnsi="仿宋"/>
          <w:sz w:val="24"/>
          <w:szCs w:val="24"/>
        </w:rPr>
        <w:t>2</w:t>
      </w:r>
      <w:r>
        <w:rPr>
          <w:rFonts w:ascii="仿宋" w:eastAsia="仿宋" w:hAnsi="仿宋" w:hint="eastAsia"/>
          <w:sz w:val="24"/>
          <w:szCs w:val="24"/>
        </w:rPr>
        <w:t>人次获“广东青年五四奖章”；连续十年获校级田径运动会团体冠军。学生感恩意识强，主动奉献社会，积极参加大学生志愿服务西部计划和投身疫情防控一线，2 名毕业生选择到西部地区就业，1名博士生毕业后到兰州大学担任专业教师，1 名少数民族骨干计划毕业生回到生源地基层工作。毕业生深造率持续攀升，总体就业率达97%以上。</w:t>
      </w:r>
    </w:p>
    <w:p w:rsidR="00E43C2B" w:rsidRDefault="00D8065E">
      <w:pPr>
        <w:rPr>
          <w:rFonts w:ascii="黑体" w:eastAsia="黑体" w:hAnsi="黑体"/>
        </w:rPr>
      </w:pPr>
      <w:r>
        <w:rPr>
          <w:rFonts w:ascii="黑体" w:eastAsia="黑体" w:hAnsi="黑体" w:hint="eastAsia"/>
        </w:rPr>
        <w:t xml:space="preserve">（八）就业发展 </w:t>
      </w:r>
      <w:r>
        <w:rPr>
          <w:rFonts w:ascii="黑体" w:eastAsia="黑体" w:hAnsi="黑体"/>
        </w:rPr>
        <w:t xml:space="preserve"> </w:t>
      </w:r>
    </w:p>
    <w:p w:rsidR="00E43C2B" w:rsidRDefault="00D8065E">
      <w:pPr>
        <w:pStyle w:val="3"/>
        <w:spacing w:line="560" w:lineRule="exact"/>
        <w:ind w:firstLine="480"/>
        <w:jc w:val="center"/>
        <w:rPr>
          <w:rFonts w:ascii="仿宋" w:eastAsia="仿宋" w:hAnsi="仿宋"/>
          <w:sz w:val="24"/>
          <w:szCs w:val="24"/>
        </w:rPr>
      </w:pPr>
      <w:r>
        <w:rPr>
          <w:rFonts w:ascii="仿宋" w:eastAsia="仿宋" w:hAnsi="仿宋" w:hint="eastAsia"/>
          <w:sz w:val="24"/>
          <w:szCs w:val="24"/>
        </w:rPr>
        <w:t>本学位点2022届研究生毕业生共138人，其中硕士毕业生125人，签订就业协议117人，升学深造4人；博士毕业生13人，签订就业协议13人。具体</w:t>
      </w:r>
    </w:p>
    <w:p w:rsidR="00E43C2B" w:rsidRDefault="00D8065E">
      <w:pPr>
        <w:pStyle w:val="3"/>
        <w:spacing w:line="560" w:lineRule="exact"/>
        <w:ind w:firstLineChars="0" w:firstLine="0"/>
        <w:rPr>
          <w:rFonts w:ascii="仿宋" w:eastAsia="仿宋" w:hAnsi="仿宋"/>
          <w:sz w:val="24"/>
          <w:szCs w:val="24"/>
        </w:rPr>
      </w:pPr>
      <w:r>
        <w:rPr>
          <w:rFonts w:ascii="仿宋" w:eastAsia="仿宋" w:hAnsi="仿宋" w:hint="eastAsia"/>
          <w:sz w:val="24"/>
          <w:szCs w:val="24"/>
        </w:rPr>
        <w:t>就业情况统计汇总如下：</w:t>
      </w:r>
    </w:p>
    <w:p w:rsidR="00E43C2B" w:rsidRDefault="00D8065E">
      <w:pPr>
        <w:pStyle w:val="3"/>
        <w:spacing w:line="560" w:lineRule="exact"/>
        <w:ind w:firstLine="482"/>
        <w:jc w:val="center"/>
        <w:rPr>
          <w:rFonts w:ascii="微软雅黑" w:eastAsia="微软雅黑" w:hAnsi="微软雅黑"/>
          <w:sz w:val="21"/>
          <w:szCs w:val="21"/>
        </w:rPr>
      </w:pPr>
      <w:r>
        <w:rPr>
          <w:rFonts w:ascii="宋体" w:eastAsia="宋体" w:hAnsi="宋体" w:hint="eastAsia"/>
          <w:b/>
          <w:bCs/>
          <w:sz w:val="24"/>
          <w:szCs w:val="24"/>
        </w:rPr>
        <w:t>2022届研究生毕业生整体就业情况</w:t>
      </w:r>
    </w:p>
    <w:p w:rsidR="00E43C2B" w:rsidRDefault="00D8065E">
      <w:pPr>
        <w:spacing w:line="560" w:lineRule="exact"/>
        <w:rPr>
          <w:rFonts w:ascii="等线" w:eastAsia="等线" w:hAnsi="等线"/>
          <w:b/>
          <w:bCs/>
          <w:color w:val="000000"/>
          <w:szCs w:val="21"/>
        </w:rPr>
      </w:pPr>
      <w:r>
        <w:rPr>
          <w:rFonts w:ascii="宋体" w:eastAsia="宋体" w:hAnsi="宋体"/>
          <w:b/>
          <w:bCs/>
          <w:color w:val="000000"/>
          <w:sz w:val="21"/>
          <w:szCs w:val="21"/>
        </w:rPr>
        <w:t xml:space="preserve">表1 </w:t>
      </w:r>
      <w:r>
        <w:rPr>
          <w:rFonts w:ascii="宋体" w:eastAsia="宋体" w:hAnsi="宋体" w:hint="eastAsia"/>
          <w:b/>
          <w:bCs/>
          <w:color w:val="000000"/>
          <w:sz w:val="21"/>
          <w:szCs w:val="21"/>
        </w:rPr>
        <w:t>就业情况统计</w:t>
      </w:r>
    </w:p>
    <w:tbl>
      <w:tblPr>
        <w:tblW w:w="10420" w:type="dxa"/>
        <w:jc w:val="center"/>
        <w:tblLook w:val="04A0" w:firstRow="1" w:lastRow="0" w:firstColumn="1" w:lastColumn="0" w:noHBand="0" w:noVBand="1"/>
      </w:tblPr>
      <w:tblGrid>
        <w:gridCol w:w="1080"/>
        <w:gridCol w:w="1080"/>
        <w:gridCol w:w="1080"/>
        <w:gridCol w:w="1320"/>
        <w:gridCol w:w="1080"/>
        <w:gridCol w:w="1080"/>
        <w:gridCol w:w="1080"/>
        <w:gridCol w:w="1080"/>
        <w:gridCol w:w="1540"/>
      </w:tblGrid>
      <w:tr w:rsidR="00E43C2B">
        <w:trPr>
          <w:trHeight w:val="450"/>
          <w:jc w:val="center"/>
        </w:trPr>
        <w:tc>
          <w:tcPr>
            <w:tcW w:w="1080" w:type="dxa"/>
            <w:vMerge w:val="restart"/>
            <w:tcBorders>
              <w:top w:val="single" w:sz="12" w:space="0" w:color="000000"/>
              <w:left w:val="single" w:sz="12" w:space="0" w:color="000000"/>
              <w:bottom w:val="single" w:sz="8" w:space="0" w:color="000000"/>
              <w:right w:val="single" w:sz="8" w:space="0" w:color="000000"/>
            </w:tcBorders>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年度</w:t>
            </w:r>
          </w:p>
        </w:tc>
        <w:tc>
          <w:tcPr>
            <w:tcW w:w="1080" w:type="dxa"/>
            <w:vMerge w:val="restart"/>
            <w:tcBorders>
              <w:top w:val="single" w:sz="12" w:space="0" w:color="000000"/>
              <w:left w:val="single" w:sz="8" w:space="0" w:color="000000"/>
              <w:bottom w:val="single" w:sz="8" w:space="0" w:color="000000"/>
              <w:right w:val="single" w:sz="8" w:space="0" w:color="000000"/>
            </w:tcBorders>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学生类型</w:t>
            </w:r>
          </w:p>
        </w:tc>
        <w:tc>
          <w:tcPr>
            <w:tcW w:w="1080" w:type="dxa"/>
            <w:vMerge w:val="restart"/>
            <w:tcBorders>
              <w:top w:val="single" w:sz="12" w:space="0" w:color="000000"/>
              <w:left w:val="single" w:sz="8" w:space="0" w:color="000000"/>
              <w:bottom w:val="single" w:sz="8" w:space="0" w:color="000000"/>
              <w:right w:val="single" w:sz="8" w:space="0" w:color="000000"/>
            </w:tcBorders>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毕业生总数</w:t>
            </w:r>
          </w:p>
        </w:tc>
        <w:tc>
          <w:tcPr>
            <w:tcW w:w="5640" w:type="dxa"/>
            <w:gridSpan w:val="5"/>
            <w:tcBorders>
              <w:top w:val="single" w:sz="12" w:space="0" w:color="000000"/>
              <w:left w:val="nil"/>
              <w:bottom w:val="single" w:sz="8" w:space="0" w:color="000000"/>
              <w:right w:val="single" w:sz="8" w:space="0" w:color="000000"/>
            </w:tcBorders>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就业情况</w:t>
            </w:r>
          </w:p>
        </w:tc>
        <w:tc>
          <w:tcPr>
            <w:tcW w:w="1540" w:type="dxa"/>
            <w:vMerge w:val="restart"/>
            <w:tcBorders>
              <w:top w:val="single" w:sz="12" w:space="0" w:color="000000"/>
              <w:left w:val="single" w:sz="8" w:space="0" w:color="000000"/>
              <w:bottom w:val="single" w:sz="8" w:space="0" w:color="000000"/>
              <w:right w:val="single" w:sz="12" w:space="0" w:color="000000"/>
            </w:tcBorders>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就业人数及就业率</w:t>
            </w:r>
          </w:p>
        </w:tc>
      </w:tr>
      <w:tr w:rsidR="00E43C2B">
        <w:trPr>
          <w:trHeight w:val="390"/>
          <w:jc w:val="center"/>
        </w:trPr>
        <w:tc>
          <w:tcPr>
            <w:tcW w:w="1080" w:type="dxa"/>
            <w:vMerge/>
            <w:tcBorders>
              <w:top w:val="single" w:sz="8" w:space="0" w:color="000000"/>
              <w:left w:val="single" w:sz="12" w:space="0" w:color="000000"/>
              <w:bottom w:val="single" w:sz="8" w:space="0" w:color="000000"/>
              <w:right w:val="single" w:sz="8" w:space="0" w:color="000000"/>
            </w:tcBorders>
            <w:vAlign w:val="center"/>
          </w:tcPr>
          <w:p w:rsidR="00E43C2B" w:rsidRDefault="00E43C2B">
            <w:pPr>
              <w:widowControl/>
              <w:spacing w:line="400" w:lineRule="exact"/>
              <w:jc w:val="left"/>
              <w:rPr>
                <w:rFonts w:ascii="仿宋_GB2312" w:eastAsia="仿宋_GB2312" w:hAnsi="等线" w:cs="宋体"/>
                <w:b/>
                <w:bCs/>
                <w:color w:val="000000"/>
                <w:kern w:val="0"/>
                <w:sz w:val="21"/>
                <w:szCs w:val="21"/>
              </w:rPr>
            </w:pPr>
          </w:p>
        </w:tc>
        <w:tc>
          <w:tcPr>
            <w:tcW w:w="1080" w:type="dxa"/>
            <w:vMerge/>
            <w:tcBorders>
              <w:top w:val="single" w:sz="8" w:space="0" w:color="000000"/>
              <w:left w:val="single" w:sz="8" w:space="0" w:color="000000"/>
              <w:bottom w:val="single" w:sz="8" w:space="0" w:color="000000"/>
              <w:right w:val="single" w:sz="8" w:space="0" w:color="000000"/>
            </w:tcBorders>
            <w:vAlign w:val="center"/>
          </w:tcPr>
          <w:p w:rsidR="00E43C2B" w:rsidRDefault="00E43C2B">
            <w:pPr>
              <w:widowControl/>
              <w:spacing w:line="400" w:lineRule="exact"/>
              <w:jc w:val="left"/>
              <w:rPr>
                <w:rFonts w:ascii="仿宋_GB2312" w:eastAsia="仿宋_GB2312" w:hAnsi="等线" w:cs="宋体"/>
                <w:b/>
                <w:bCs/>
                <w:color w:val="000000"/>
                <w:kern w:val="0"/>
                <w:sz w:val="21"/>
                <w:szCs w:val="21"/>
              </w:rPr>
            </w:pPr>
          </w:p>
        </w:tc>
        <w:tc>
          <w:tcPr>
            <w:tcW w:w="1080" w:type="dxa"/>
            <w:vMerge/>
            <w:tcBorders>
              <w:top w:val="single" w:sz="8" w:space="0" w:color="000000"/>
              <w:left w:val="single" w:sz="8" w:space="0" w:color="000000"/>
              <w:bottom w:val="single" w:sz="8" w:space="0" w:color="000000"/>
              <w:right w:val="single" w:sz="8" w:space="0" w:color="000000"/>
            </w:tcBorders>
            <w:vAlign w:val="center"/>
          </w:tcPr>
          <w:p w:rsidR="00E43C2B" w:rsidRDefault="00E43C2B">
            <w:pPr>
              <w:widowControl/>
              <w:spacing w:line="400" w:lineRule="exact"/>
              <w:jc w:val="left"/>
              <w:rPr>
                <w:rFonts w:ascii="仿宋_GB2312" w:eastAsia="仿宋_GB2312" w:hAnsi="等线" w:cs="宋体"/>
                <w:b/>
                <w:bCs/>
                <w:color w:val="000000"/>
                <w:kern w:val="0"/>
                <w:sz w:val="21"/>
                <w:szCs w:val="21"/>
              </w:rPr>
            </w:pPr>
          </w:p>
        </w:tc>
        <w:tc>
          <w:tcPr>
            <w:tcW w:w="1320" w:type="dxa"/>
            <w:vMerge w:val="restart"/>
            <w:tcBorders>
              <w:top w:val="nil"/>
              <w:left w:val="single" w:sz="8" w:space="0" w:color="000000"/>
              <w:bottom w:val="single" w:sz="8" w:space="0" w:color="000000"/>
              <w:right w:val="single" w:sz="8" w:space="0" w:color="000000"/>
            </w:tcBorders>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协议和合同</w:t>
            </w:r>
            <w:r>
              <w:rPr>
                <w:rFonts w:ascii="仿宋_GB2312" w:eastAsia="仿宋_GB2312" w:hAnsi="等线" w:cs="宋体" w:hint="eastAsia"/>
                <w:b/>
                <w:bCs/>
                <w:color w:val="000000"/>
                <w:kern w:val="0"/>
                <w:sz w:val="21"/>
                <w:szCs w:val="21"/>
              </w:rPr>
              <w:br/>
              <w:t>就业</w:t>
            </w:r>
          </w:p>
        </w:tc>
        <w:tc>
          <w:tcPr>
            <w:tcW w:w="1080" w:type="dxa"/>
            <w:vMerge w:val="restart"/>
            <w:tcBorders>
              <w:top w:val="nil"/>
              <w:left w:val="single" w:sz="8" w:space="0" w:color="000000"/>
              <w:bottom w:val="single" w:sz="8" w:space="0" w:color="000000"/>
              <w:right w:val="single" w:sz="8" w:space="0" w:color="000000"/>
            </w:tcBorders>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自主创业</w:t>
            </w:r>
          </w:p>
        </w:tc>
        <w:tc>
          <w:tcPr>
            <w:tcW w:w="1080" w:type="dxa"/>
            <w:vMerge w:val="restart"/>
            <w:tcBorders>
              <w:top w:val="nil"/>
              <w:left w:val="single" w:sz="8" w:space="0" w:color="000000"/>
              <w:bottom w:val="single" w:sz="8" w:space="0" w:color="000000"/>
              <w:right w:val="single" w:sz="8" w:space="0" w:color="000000"/>
            </w:tcBorders>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灵活就业</w:t>
            </w:r>
          </w:p>
        </w:tc>
        <w:tc>
          <w:tcPr>
            <w:tcW w:w="2160" w:type="dxa"/>
            <w:gridSpan w:val="2"/>
            <w:tcBorders>
              <w:top w:val="single" w:sz="8" w:space="0" w:color="000000"/>
              <w:left w:val="nil"/>
              <w:bottom w:val="single" w:sz="8" w:space="0" w:color="000000"/>
              <w:right w:val="single" w:sz="8" w:space="0" w:color="000000"/>
            </w:tcBorders>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升学</w:t>
            </w:r>
          </w:p>
        </w:tc>
        <w:tc>
          <w:tcPr>
            <w:tcW w:w="1540" w:type="dxa"/>
            <w:vMerge/>
            <w:tcBorders>
              <w:top w:val="single" w:sz="8" w:space="0" w:color="000000"/>
              <w:left w:val="single" w:sz="8" w:space="0" w:color="000000"/>
              <w:bottom w:val="single" w:sz="8" w:space="0" w:color="000000"/>
              <w:right w:val="single" w:sz="12" w:space="0" w:color="000000"/>
            </w:tcBorders>
            <w:vAlign w:val="center"/>
          </w:tcPr>
          <w:p w:rsidR="00E43C2B" w:rsidRDefault="00E43C2B">
            <w:pPr>
              <w:widowControl/>
              <w:spacing w:line="400" w:lineRule="exact"/>
              <w:jc w:val="left"/>
              <w:rPr>
                <w:rFonts w:ascii="仿宋_GB2312" w:eastAsia="仿宋_GB2312" w:hAnsi="等线" w:cs="宋体"/>
                <w:b/>
                <w:bCs/>
                <w:color w:val="000000"/>
                <w:kern w:val="0"/>
                <w:sz w:val="21"/>
                <w:szCs w:val="21"/>
              </w:rPr>
            </w:pPr>
          </w:p>
        </w:tc>
      </w:tr>
      <w:tr w:rsidR="00E43C2B">
        <w:trPr>
          <w:trHeight w:val="300"/>
          <w:jc w:val="center"/>
        </w:trPr>
        <w:tc>
          <w:tcPr>
            <w:tcW w:w="1080" w:type="dxa"/>
            <w:vMerge/>
            <w:tcBorders>
              <w:top w:val="single" w:sz="8" w:space="0" w:color="000000"/>
              <w:left w:val="single" w:sz="12" w:space="0" w:color="000000"/>
              <w:bottom w:val="single" w:sz="8" w:space="0" w:color="000000"/>
              <w:right w:val="single" w:sz="8" w:space="0" w:color="000000"/>
            </w:tcBorders>
            <w:vAlign w:val="center"/>
          </w:tcPr>
          <w:p w:rsidR="00E43C2B" w:rsidRDefault="00E43C2B">
            <w:pPr>
              <w:widowControl/>
              <w:spacing w:line="400" w:lineRule="exact"/>
              <w:jc w:val="left"/>
              <w:rPr>
                <w:rFonts w:ascii="仿宋_GB2312" w:eastAsia="仿宋_GB2312" w:hAnsi="等线" w:cs="宋体"/>
                <w:b/>
                <w:bCs/>
                <w:color w:val="000000"/>
                <w:kern w:val="0"/>
                <w:sz w:val="21"/>
                <w:szCs w:val="21"/>
              </w:rPr>
            </w:pPr>
          </w:p>
        </w:tc>
        <w:tc>
          <w:tcPr>
            <w:tcW w:w="1080" w:type="dxa"/>
            <w:vMerge/>
            <w:tcBorders>
              <w:top w:val="single" w:sz="8" w:space="0" w:color="000000"/>
              <w:left w:val="single" w:sz="8" w:space="0" w:color="000000"/>
              <w:bottom w:val="single" w:sz="8" w:space="0" w:color="000000"/>
              <w:right w:val="single" w:sz="8" w:space="0" w:color="000000"/>
            </w:tcBorders>
            <w:vAlign w:val="center"/>
          </w:tcPr>
          <w:p w:rsidR="00E43C2B" w:rsidRDefault="00E43C2B">
            <w:pPr>
              <w:widowControl/>
              <w:spacing w:line="400" w:lineRule="exact"/>
              <w:jc w:val="left"/>
              <w:rPr>
                <w:rFonts w:ascii="仿宋_GB2312" w:eastAsia="仿宋_GB2312" w:hAnsi="等线" w:cs="宋体"/>
                <w:b/>
                <w:bCs/>
                <w:color w:val="000000"/>
                <w:kern w:val="0"/>
                <w:sz w:val="21"/>
                <w:szCs w:val="21"/>
              </w:rPr>
            </w:pPr>
          </w:p>
        </w:tc>
        <w:tc>
          <w:tcPr>
            <w:tcW w:w="1080" w:type="dxa"/>
            <w:vMerge/>
            <w:tcBorders>
              <w:top w:val="single" w:sz="8" w:space="0" w:color="000000"/>
              <w:left w:val="single" w:sz="8" w:space="0" w:color="000000"/>
              <w:bottom w:val="single" w:sz="8" w:space="0" w:color="000000"/>
              <w:right w:val="single" w:sz="8" w:space="0" w:color="000000"/>
            </w:tcBorders>
            <w:vAlign w:val="center"/>
          </w:tcPr>
          <w:p w:rsidR="00E43C2B" w:rsidRDefault="00E43C2B">
            <w:pPr>
              <w:widowControl/>
              <w:spacing w:line="400" w:lineRule="exact"/>
              <w:jc w:val="left"/>
              <w:rPr>
                <w:rFonts w:ascii="仿宋_GB2312" w:eastAsia="仿宋_GB2312" w:hAnsi="等线" w:cs="宋体"/>
                <w:b/>
                <w:bCs/>
                <w:color w:val="000000"/>
                <w:kern w:val="0"/>
                <w:sz w:val="21"/>
                <w:szCs w:val="21"/>
              </w:rPr>
            </w:pPr>
          </w:p>
        </w:tc>
        <w:tc>
          <w:tcPr>
            <w:tcW w:w="1320" w:type="dxa"/>
            <w:vMerge/>
            <w:tcBorders>
              <w:top w:val="nil"/>
              <w:left w:val="single" w:sz="8" w:space="0" w:color="000000"/>
              <w:bottom w:val="single" w:sz="8" w:space="0" w:color="000000"/>
              <w:right w:val="single" w:sz="8" w:space="0" w:color="000000"/>
            </w:tcBorders>
            <w:vAlign w:val="center"/>
          </w:tcPr>
          <w:p w:rsidR="00E43C2B" w:rsidRDefault="00E43C2B">
            <w:pPr>
              <w:widowControl/>
              <w:spacing w:line="400" w:lineRule="exact"/>
              <w:jc w:val="left"/>
              <w:rPr>
                <w:rFonts w:ascii="仿宋_GB2312" w:eastAsia="仿宋_GB2312" w:hAnsi="等线" w:cs="宋体"/>
                <w:b/>
                <w:bCs/>
                <w:color w:val="000000"/>
                <w:kern w:val="0"/>
                <w:sz w:val="21"/>
                <w:szCs w:val="21"/>
              </w:rPr>
            </w:pPr>
          </w:p>
        </w:tc>
        <w:tc>
          <w:tcPr>
            <w:tcW w:w="1080" w:type="dxa"/>
            <w:vMerge/>
            <w:tcBorders>
              <w:top w:val="nil"/>
              <w:left w:val="single" w:sz="8" w:space="0" w:color="000000"/>
              <w:bottom w:val="single" w:sz="8" w:space="0" w:color="000000"/>
              <w:right w:val="single" w:sz="8" w:space="0" w:color="000000"/>
            </w:tcBorders>
            <w:vAlign w:val="center"/>
          </w:tcPr>
          <w:p w:rsidR="00E43C2B" w:rsidRDefault="00E43C2B">
            <w:pPr>
              <w:widowControl/>
              <w:spacing w:line="400" w:lineRule="exact"/>
              <w:jc w:val="left"/>
              <w:rPr>
                <w:rFonts w:ascii="仿宋_GB2312" w:eastAsia="仿宋_GB2312" w:hAnsi="等线" w:cs="宋体"/>
                <w:b/>
                <w:bCs/>
                <w:color w:val="000000"/>
                <w:kern w:val="0"/>
                <w:sz w:val="21"/>
                <w:szCs w:val="21"/>
              </w:rPr>
            </w:pPr>
          </w:p>
        </w:tc>
        <w:tc>
          <w:tcPr>
            <w:tcW w:w="1080" w:type="dxa"/>
            <w:vMerge/>
            <w:tcBorders>
              <w:top w:val="nil"/>
              <w:left w:val="single" w:sz="8" w:space="0" w:color="000000"/>
              <w:bottom w:val="single" w:sz="8" w:space="0" w:color="000000"/>
              <w:right w:val="single" w:sz="8" w:space="0" w:color="000000"/>
            </w:tcBorders>
            <w:vAlign w:val="center"/>
          </w:tcPr>
          <w:p w:rsidR="00E43C2B" w:rsidRDefault="00E43C2B">
            <w:pPr>
              <w:widowControl/>
              <w:spacing w:line="400" w:lineRule="exact"/>
              <w:jc w:val="left"/>
              <w:rPr>
                <w:rFonts w:ascii="仿宋_GB2312" w:eastAsia="仿宋_GB2312" w:hAnsi="等线" w:cs="宋体"/>
                <w:b/>
                <w:bCs/>
                <w:color w:val="000000"/>
                <w:kern w:val="0"/>
                <w:sz w:val="21"/>
                <w:szCs w:val="21"/>
              </w:rPr>
            </w:pPr>
          </w:p>
        </w:tc>
        <w:tc>
          <w:tcPr>
            <w:tcW w:w="1080" w:type="dxa"/>
            <w:tcBorders>
              <w:top w:val="nil"/>
              <w:left w:val="nil"/>
              <w:bottom w:val="single" w:sz="8" w:space="0" w:color="000000"/>
              <w:right w:val="single" w:sz="8" w:space="0" w:color="000000"/>
            </w:tcBorders>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境内</w:t>
            </w:r>
          </w:p>
        </w:tc>
        <w:tc>
          <w:tcPr>
            <w:tcW w:w="1080" w:type="dxa"/>
            <w:tcBorders>
              <w:top w:val="nil"/>
              <w:left w:val="nil"/>
              <w:bottom w:val="single" w:sz="8" w:space="0" w:color="000000"/>
              <w:right w:val="single" w:sz="8" w:space="0" w:color="000000"/>
            </w:tcBorders>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境外</w:t>
            </w:r>
          </w:p>
        </w:tc>
        <w:tc>
          <w:tcPr>
            <w:tcW w:w="1540" w:type="dxa"/>
            <w:vMerge/>
            <w:tcBorders>
              <w:top w:val="single" w:sz="8" w:space="0" w:color="000000"/>
              <w:left w:val="single" w:sz="8" w:space="0" w:color="000000"/>
              <w:bottom w:val="single" w:sz="8" w:space="0" w:color="000000"/>
              <w:right w:val="single" w:sz="12" w:space="0" w:color="000000"/>
            </w:tcBorders>
            <w:vAlign w:val="center"/>
          </w:tcPr>
          <w:p w:rsidR="00E43C2B" w:rsidRDefault="00E43C2B">
            <w:pPr>
              <w:widowControl/>
              <w:spacing w:line="400" w:lineRule="exact"/>
              <w:jc w:val="left"/>
              <w:rPr>
                <w:rFonts w:ascii="仿宋_GB2312" w:eastAsia="仿宋_GB2312" w:hAnsi="等线" w:cs="宋体"/>
                <w:b/>
                <w:bCs/>
                <w:color w:val="000000"/>
                <w:kern w:val="0"/>
                <w:sz w:val="21"/>
                <w:szCs w:val="21"/>
              </w:rPr>
            </w:pPr>
          </w:p>
        </w:tc>
      </w:tr>
      <w:tr w:rsidR="00E43C2B">
        <w:trPr>
          <w:trHeight w:val="300"/>
          <w:jc w:val="center"/>
        </w:trPr>
        <w:tc>
          <w:tcPr>
            <w:tcW w:w="1080" w:type="dxa"/>
            <w:vMerge w:val="restart"/>
            <w:tcBorders>
              <w:top w:val="nil"/>
              <w:left w:val="single" w:sz="12" w:space="0" w:color="000000"/>
              <w:bottom w:val="single" w:sz="12" w:space="0" w:color="000000"/>
              <w:right w:val="single" w:sz="8" w:space="0" w:color="000000"/>
            </w:tcBorders>
            <w:shd w:val="clear" w:color="auto" w:fill="auto"/>
            <w:vAlign w:val="center"/>
          </w:tcPr>
          <w:p w:rsidR="00E43C2B" w:rsidRDefault="00D8065E">
            <w:pPr>
              <w:widowControl/>
              <w:spacing w:line="40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202</w:t>
            </w:r>
            <w:r>
              <w:rPr>
                <w:rFonts w:ascii="Times New Roman" w:eastAsia="等线" w:hAnsi="Times New Roman" w:cs="Times New Roman" w:hint="eastAsia"/>
                <w:color w:val="000000"/>
                <w:kern w:val="0"/>
                <w:sz w:val="21"/>
                <w:szCs w:val="21"/>
              </w:rPr>
              <w:t>2</w:t>
            </w:r>
          </w:p>
        </w:tc>
        <w:tc>
          <w:tcPr>
            <w:tcW w:w="1080" w:type="dxa"/>
            <w:tcBorders>
              <w:top w:val="nil"/>
              <w:left w:val="nil"/>
              <w:bottom w:val="single" w:sz="8" w:space="0" w:color="000000"/>
              <w:right w:val="single" w:sz="8" w:space="0" w:color="000000"/>
            </w:tcBorders>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硕士</w:t>
            </w:r>
          </w:p>
        </w:tc>
        <w:tc>
          <w:tcPr>
            <w:tcW w:w="1080" w:type="dxa"/>
            <w:tcBorders>
              <w:top w:val="nil"/>
              <w:left w:val="nil"/>
              <w:bottom w:val="single" w:sz="8" w:space="0" w:color="000000"/>
              <w:right w:val="single" w:sz="8" w:space="0" w:color="000000"/>
            </w:tcBorders>
            <w:shd w:val="clear" w:color="auto" w:fill="auto"/>
            <w:vAlign w:val="center"/>
          </w:tcPr>
          <w:p w:rsidR="00E43C2B" w:rsidRDefault="00D8065E">
            <w:pPr>
              <w:widowControl/>
              <w:spacing w:line="40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hint="eastAsia"/>
                <w:color w:val="000000"/>
                <w:kern w:val="0"/>
                <w:sz w:val="21"/>
                <w:szCs w:val="21"/>
              </w:rPr>
              <w:t>125</w:t>
            </w:r>
          </w:p>
        </w:tc>
        <w:tc>
          <w:tcPr>
            <w:tcW w:w="1320" w:type="dxa"/>
            <w:tcBorders>
              <w:top w:val="nil"/>
              <w:left w:val="nil"/>
              <w:bottom w:val="single" w:sz="8" w:space="0" w:color="000000"/>
              <w:right w:val="single" w:sz="8" w:space="0" w:color="000000"/>
            </w:tcBorders>
            <w:shd w:val="clear" w:color="auto" w:fill="auto"/>
            <w:vAlign w:val="center"/>
          </w:tcPr>
          <w:p w:rsidR="00E43C2B" w:rsidRDefault="00D8065E">
            <w:pPr>
              <w:widowControl/>
              <w:spacing w:line="40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hint="eastAsia"/>
                <w:color w:val="000000"/>
                <w:kern w:val="0"/>
                <w:sz w:val="21"/>
                <w:szCs w:val="21"/>
              </w:rPr>
              <w:t>117</w:t>
            </w:r>
          </w:p>
        </w:tc>
        <w:tc>
          <w:tcPr>
            <w:tcW w:w="1080" w:type="dxa"/>
            <w:tcBorders>
              <w:top w:val="nil"/>
              <w:left w:val="nil"/>
              <w:bottom w:val="single" w:sz="8" w:space="0" w:color="000000"/>
              <w:right w:val="single" w:sz="8" w:space="0" w:color="000000"/>
            </w:tcBorders>
            <w:shd w:val="clear" w:color="auto" w:fill="auto"/>
            <w:vAlign w:val="center"/>
          </w:tcPr>
          <w:p w:rsidR="00E43C2B" w:rsidRDefault="00D8065E">
            <w:pPr>
              <w:widowControl/>
              <w:spacing w:line="40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E43C2B" w:rsidRDefault="00D8065E">
            <w:pPr>
              <w:widowControl/>
              <w:spacing w:line="40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E43C2B" w:rsidRDefault="00D8065E">
            <w:pPr>
              <w:widowControl/>
              <w:spacing w:line="40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hint="eastAsia"/>
                <w:color w:val="000000"/>
                <w:kern w:val="0"/>
                <w:sz w:val="21"/>
                <w:szCs w:val="21"/>
              </w:rPr>
              <w:t>3</w:t>
            </w:r>
          </w:p>
        </w:tc>
        <w:tc>
          <w:tcPr>
            <w:tcW w:w="1080" w:type="dxa"/>
            <w:tcBorders>
              <w:top w:val="nil"/>
              <w:left w:val="nil"/>
              <w:bottom w:val="single" w:sz="8" w:space="0" w:color="000000"/>
              <w:right w:val="single" w:sz="8" w:space="0" w:color="000000"/>
            </w:tcBorders>
            <w:shd w:val="clear" w:color="auto" w:fill="auto"/>
            <w:vAlign w:val="center"/>
          </w:tcPr>
          <w:p w:rsidR="00E43C2B" w:rsidRDefault="00D8065E">
            <w:pPr>
              <w:widowControl/>
              <w:spacing w:line="40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1</w:t>
            </w:r>
          </w:p>
        </w:tc>
        <w:tc>
          <w:tcPr>
            <w:tcW w:w="1540" w:type="dxa"/>
            <w:tcBorders>
              <w:top w:val="nil"/>
              <w:left w:val="nil"/>
              <w:bottom w:val="single" w:sz="8" w:space="0" w:color="000000"/>
              <w:right w:val="single" w:sz="12" w:space="0" w:color="000000"/>
            </w:tcBorders>
            <w:shd w:val="clear" w:color="auto" w:fill="auto"/>
            <w:vAlign w:val="center"/>
          </w:tcPr>
          <w:p w:rsidR="00E43C2B" w:rsidRDefault="00D8065E">
            <w:pPr>
              <w:widowControl/>
              <w:spacing w:line="40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hint="eastAsia"/>
                <w:color w:val="000000"/>
                <w:kern w:val="0"/>
                <w:sz w:val="21"/>
                <w:szCs w:val="21"/>
              </w:rPr>
              <w:t>121</w:t>
            </w:r>
            <w:r>
              <w:rPr>
                <w:rFonts w:ascii="宋体" w:eastAsia="宋体" w:hAnsi="宋体" w:cs="Times New Roman" w:hint="eastAsia"/>
                <w:color w:val="000000"/>
                <w:kern w:val="0"/>
                <w:sz w:val="21"/>
                <w:szCs w:val="21"/>
              </w:rPr>
              <w:t>（</w:t>
            </w:r>
            <w:r>
              <w:rPr>
                <w:rFonts w:ascii="Times New Roman" w:eastAsia="等线" w:hAnsi="Times New Roman" w:cs="Times New Roman"/>
                <w:color w:val="000000"/>
                <w:kern w:val="0"/>
                <w:sz w:val="21"/>
                <w:szCs w:val="21"/>
              </w:rPr>
              <w:t>9</w:t>
            </w:r>
            <w:r>
              <w:rPr>
                <w:rFonts w:ascii="Times New Roman" w:eastAsia="等线" w:hAnsi="Times New Roman" w:cs="Times New Roman" w:hint="eastAsia"/>
                <w:color w:val="000000"/>
                <w:kern w:val="0"/>
                <w:sz w:val="21"/>
                <w:szCs w:val="21"/>
              </w:rPr>
              <w:t>6</w:t>
            </w:r>
            <w:r>
              <w:rPr>
                <w:rFonts w:ascii="Times New Roman" w:eastAsia="等线" w:hAnsi="Times New Roman" w:cs="Times New Roman"/>
                <w:color w:val="000000"/>
                <w:kern w:val="0"/>
                <w:sz w:val="21"/>
                <w:szCs w:val="21"/>
              </w:rPr>
              <w:t>.</w:t>
            </w:r>
            <w:r>
              <w:rPr>
                <w:rFonts w:ascii="Times New Roman" w:eastAsia="等线" w:hAnsi="Times New Roman" w:cs="Times New Roman" w:hint="eastAsia"/>
                <w:color w:val="000000"/>
                <w:kern w:val="0"/>
                <w:sz w:val="21"/>
                <w:szCs w:val="21"/>
              </w:rPr>
              <w:t>8</w:t>
            </w:r>
            <w:r>
              <w:rPr>
                <w:rFonts w:ascii="Times New Roman" w:eastAsia="等线" w:hAnsi="Times New Roman" w:cs="Times New Roman"/>
                <w:color w:val="000000"/>
                <w:kern w:val="0"/>
                <w:sz w:val="21"/>
                <w:szCs w:val="21"/>
              </w:rPr>
              <w:t>%</w:t>
            </w:r>
            <w:r>
              <w:rPr>
                <w:rFonts w:ascii="宋体" w:eastAsia="宋体" w:hAnsi="宋体" w:cs="Times New Roman" w:hint="eastAsia"/>
                <w:color w:val="000000"/>
                <w:kern w:val="0"/>
                <w:sz w:val="21"/>
                <w:szCs w:val="21"/>
              </w:rPr>
              <w:t>）</w:t>
            </w:r>
          </w:p>
        </w:tc>
      </w:tr>
      <w:tr w:rsidR="00E43C2B">
        <w:trPr>
          <w:trHeight w:val="300"/>
          <w:jc w:val="center"/>
        </w:trPr>
        <w:tc>
          <w:tcPr>
            <w:tcW w:w="1080" w:type="dxa"/>
            <w:vMerge/>
            <w:tcBorders>
              <w:top w:val="nil"/>
              <w:left w:val="single" w:sz="12" w:space="0" w:color="000000"/>
              <w:bottom w:val="single" w:sz="12" w:space="0" w:color="000000"/>
              <w:right w:val="single" w:sz="8" w:space="0" w:color="000000"/>
            </w:tcBorders>
            <w:vAlign w:val="center"/>
          </w:tcPr>
          <w:p w:rsidR="00E43C2B" w:rsidRDefault="00E43C2B">
            <w:pPr>
              <w:widowControl/>
              <w:spacing w:line="400" w:lineRule="exact"/>
              <w:jc w:val="left"/>
              <w:rPr>
                <w:rFonts w:ascii="Times New Roman" w:eastAsia="等线" w:hAnsi="Times New Roman" w:cs="Times New Roman"/>
                <w:color w:val="000000"/>
                <w:kern w:val="0"/>
                <w:sz w:val="21"/>
                <w:szCs w:val="21"/>
              </w:rPr>
            </w:pPr>
          </w:p>
        </w:tc>
        <w:tc>
          <w:tcPr>
            <w:tcW w:w="1080" w:type="dxa"/>
            <w:tcBorders>
              <w:top w:val="nil"/>
              <w:left w:val="nil"/>
              <w:bottom w:val="single" w:sz="12" w:space="0" w:color="000000"/>
              <w:right w:val="single" w:sz="8" w:space="0" w:color="000000"/>
            </w:tcBorders>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博士</w:t>
            </w:r>
          </w:p>
        </w:tc>
        <w:tc>
          <w:tcPr>
            <w:tcW w:w="1080" w:type="dxa"/>
            <w:tcBorders>
              <w:top w:val="nil"/>
              <w:left w:val="nil"/>
              <w:bottom w:val="single" w:sz="12" w:space="0" w:color="000000"/>
              <w:right w:val="single" w:sz="8" w:space="0" w:color="000000"/>
            </w:tcBorders>
            <w:shd w:val="clear" w:color="auto" w:fill="auto"/>
            <w:vAlign w:val="center"/>
          </w:tcPr>
          <w:p w:rsidR="00E43C2B" w:rsidRDefault="00D8065E">
            <w:pPr>
              <w:widowControl/>
              <w:spacing w:line="40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hint="eastAsia"/>
                <w:color w:val="000000"/>
                <w:kern w:val="0"/>
                <w:sz w:val="21"/>
                <w:szCs w:val="21"/>
              </w:rPr>
              <w:t>13</w:t>
            </w:r>
          </w:p>
        </w:tc>
        <w:tc>
          <w:tcPr>
            <w:tcW w:w="1320" w:type="dxa"/>
            <w:tcBorders>
              <w:top w:val="nil"/>
              <w:left w:val="nil"/>
              <w:bottom w:val="single" w:sz="12" w:space="0" w:color="000000"/>
              <w:right w:val="single" w:sz="8" w:space="0" w:color="000000"/>
            </w:tcBorders>
            <w:shd w:val="clear" w:color="auto" w:fill="auto"/>
            <w:vAlign w:val="center"/>
          </w:tcPr>
          <w:p w:rsidR="00E43C2B" w:rsidRDefault="00D8065E">
            <w:pPr>
              <w:widowControl/>
              <w:spacing w:line="40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hint="eastAsia"/>
                <w:color w:val="000000"/>
                <w:kern w:val="0"/>
                <w:sz w:val="21"/>
                <w:szCs w:val="21"/>
              </w:rPr>
              <w:t>13</w:t>
            </w:r>
          </w:p>
        </w:tc>
        <w:tc>
          <w:tcPr>
            <w:tcW w:w="1080" w:type="dxa"/>
            <w:tcBorders>
              <w:top w:val="nil"/>
              <w:left w:val="nil"/>
              <w:bottom w:val="single" w:sz="12" w:space="0" w:color="000000"/>
              <w:right w:val="single" w:sz="8" w:space="0" w:color="000000"/>
            </w:tcBorders>
            <w:shd w:val="clear" w:color="auto" w:fill="auto"/>
            <w:vAlign w:val="center"/>
          </w:tcPr>
          <w:p w:rsidR="00E43C2B" w:rsidRDefault="00D8065E">
            <w:pPr>
              <w:widowControl/>
              <w:spacing w:line="40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12" w:space="0" w:color="000000"/>
              <w:right w:val="single" w:sz="8" w:space="0" w:color="000000"/>
            </w:tcBorders>
            <w:shd w:val="clear" w:color="auto" w:fill="auto"/>
            <w:vAlign w:val="center"/>
          </w:tcPr>
          <w:p w:rsidR="00E43C2B" w:rsidRDefault="00D8065E">
            <w:pPr>
              <w:widowControl/>
              <w:spacing w:line="40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12" w:space="0" w:color="000000"/>
              <w:right w:val="single" w:sz="8" w:space="0" w:color="000000"/>
            </w:tcBorders>
            <w:shd w:val="clear" w:color="auto" w:fill="auto"/>
            <w:vAlign w:val="center"/>
          </w:tcPr>
          <w:p w:rsidR="00E43C2B" w:rsidRDefault="00E43C2B">
            <w:pPr>
              <w:widowControl/>
              <w:spacing w:line="400" w:lineRule="exact"/>
              <w:jc w:val="center"/>
              <w:rPr>
                <w:rFonts w:ascii="Times New Roman" w:eastAsia="等线" w:hAnsi="Times New Roman" w:cs="Times New Roman"/>
                <w:color w:val="000000"/>
                <w:kern w:val="0"/>
                <w:sz w:val="20"/>
                <w:szCs w:val="20"/>
              </w:rPr>
            </w:pPr>
          </w:p>
        </w:tc>
        <w:tc>
          <w:tcPr>
            <w:tcW w:w="1080" w:type="dxa"/>
            <w:tcBorders>
              <w:top w:val="nil"/>
              <w:left w:val="nil"/>
              <w:bottom w:val="single" w:sz="12" w:space="0" w:color="000000"/>
              <w:right w:val="single" w:sz="8" w:space="0" w:color="000000"/>
            </w:tcBorders>
            <w:shd w:val="clear" w:color="auto" w:fill="auto"/>
            <w:vAlign w:val="center"/>
          </w:tcPr>
          <w:p w:rsidR="00E43C2B" w:rsidRDefault="00E43C2B">
            <w:pPr>
              <w:widowControl/>
              <w:spacing w:line="400" w:lineRule="exact"/>
              <w:jc w:val="center"/>
              <w:rPr>
                <w:rFonts w:ascii="Times New Roman" w:eastAsia="等线" w:hAnsi="Times New Roman" w:cs="Times New Roman"/>
                <w:color w:val="000000"/>
                <w:kern w:val="0"/>
                <w:sz w:val="20"/>
                <w:szCs w:val="20"/>
              </w:rPr>
            </w:pPr>
          </w:p>
        </w:tc>
        <w:tc>
          <w:tcPr>
            <w:tcW w:w="1540" w:type="dxa"/>
            <w:tcBorders>
              <w:top w:val="nil"/>
              <w:left w:val="nil"/>
              <w:bottom w:val="single" w:sz="12" w:space="0" w:color="000000"/>
              <w:right w:val="single" w:sz="12" w:space="0" w:color="000000"/>
            </w:tcBorders>
            <w:shd w:val="clear" w:color="auto" w:fill="auto"/>
            <w:vAlign w:val="center"/>
          </w:tcPr>
          <w:p w:rsidR="00E43C2B" w:rsidRDefault="00D8065E">
            <w:pPr>
              <w:widowControl/>
              <w:spacing w:line="40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hint="eastAsia"/>
                <w:color w:val="000000"/>
                <w:kern w:val="0"/>
                <w:sz w:val="21"/>
                <w:szCs w:val="21"/>
              </w:rPr>
              <w:t>13</w:t>
            </w:r>
            <w:r>
              <w:rPr>
                <w:rFonts w:ascii="宋体" w:eastAsia="宋体" w:hAnsi="宋体" w:cs="Times New Roman" w:hint="eastAsia"/>
                <w:color w:val="000000"/>
                <w:kern w:val="0"/>
                <w:sz w:val="21"/>
                <w:szCs w:val="21"/>
              </w:rPr>
              <w:t>（</w:t>
            </w:r>
            <w:r>
              <w:rPr>
                <w:rFonts w:ascii="Times New Roman" w:eastAsia="等线" w:hAnsi="Times New Roman" w:cs="Times New Roman" w:hint="eastAsia"/>
                <w:color w:val="000000"/>
                <w:kern w:val="0"/>
                <w:sz w:val="21"/>
                <w:szCs w:val="21"/>
              </w:rPr>
              <w:t>100</w:t>
            </w:r>
            <w:r>
              <w:rPr>
                <w:rFonts w:ascii="Times New Roman" w:eastAsia="等线" w:hAnsi="Times New Roman" w:cs="Times New Roman"/>
                <w:color w:val="000000"/>
                <w:kern w:val="0"/>
                <w:sz w:val="21"/>
                <w:szCs w:val="21"/>
              </w:rPr>
              <w:t>%</w:t>
            </w:r>
            <w:r>
              <w:rPr>
                <w:rFonts w:ascii="宋体" w:eastAsia="宋体" w:hAnsi="宋体" w:cs="Times New Roman" w:hint="eastAsia"/>
                <w:color w:val="000000"/>
                <w:kern w:val="0"/>
                <w:sz w:val="21"/>
                <w:szCs w:val="21"/>
              </w:rPr>
              <w:t>）</w:t>
            </w:r>
          </w:p>
        </w:tc>
      </w:tr>
    </w:tbl>
    <w:p w:rsidR="00E43C2B" w:rsidRDefault="00D8065E">
      <w:pPr>
        <w:spacing w:line="400" w:lineRule="exact"/>
        <w:rPr>
          <w:rFonts w:ascii="宋体" w:eastAsia="宋体" w:hAnsi="宋体"/>
          <w:b/>
          <w:bCs/>
          <w:color w:val="000000"/>
          <w:sz w:val="21"/>
          <w:szCs w:val="21"/>
        </w:rPr>
      </w:pPr>
      <w:r>
        <w:rPr>
          <w:rFonts w:ascii="宋体" w:eastAsia="宋体" w:hAnsi="宋体"/>
          <w:b/>
          <w:bCs/>
          <w:color w:val="000000"/>
          <w:sz w:val="21"/>
          <w:szCs w:val="21"/>
        </w:rPr>
        <w:t xml:space="preserve">表2 </w:t>
      </w:r>
      <w:r>
        <w:rPr>
          <w:rFonts w:ascii="宋体" w:eastAsia="宋体" w:hAnsi="宋体" w:hint="eastAsia"/>
          <w:b/>
          <w:bCs/>
          <w:color w:val="000000"/>
          <w:sz w:val="21"/>
          <w:szCs w:val="21"/>
        </w:rPr>
        <w:t>签约单位类型分布</w:t>
      </w:r>
    </w:p>
    <w:tbl>
      <w:tblPr>
        <w:tblW w:w="106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271"/>
        <w:gridCol w:w="851"/>
        <w:gridCol w:w="992"/>
        <w:gridCol w:w="1276"/>
        <w:gridCol w:w="992"/>
        <w:gridCol w:w="992"/>
        <w:gridCol w:w="992"/>
        <w:gridCol w:w="851"/>
        <w:gridCol w:w="850"/>
        <w:gridCol w:w="851"/>
        <w:gridCol w:w="709"/>
      </w:tblGrid>
      <w:tr w:rsidR="00E43C2B">
        <w:trPr>
          <w:trHeight w:val="570"/>
          <w:jc w:val="center"/>
        </w:trPr>
        <w:tc>
          <w:tcPr>
            <w:tcW w:w="1271" w:type="dxa"/>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单位类别</w:t>
            </w:r>
          </w:p>
        </w:tc>
        <w:tc>
          <w:tcPr>
            <w:tcW w:w="851" w:type="dxa"/>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党政机关</w:t>
            </w:r>
          </w:p>
        </w:tc>
        <w:tc>
          <w:tcPr>
            <w:tcW w:w="992" w:type="dxa"/>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高等教育单位</w:t>
            </w:r>
          </w:p>
        </w:tc>
        <w:tc>
          <w:tcPr>
            <w:tcW w:w="1276" w:type="dxa"/>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中初等教育单位</w:t>
            </w:r>
          </w:p>
        </w:tc>
        <w:tc>
          <w:tcPr>
            <w:tcW w:w="992" w:type="dxa"/>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科研设计单位</w:t>
            </w:r>
          </w:p>
        </w:tc>
        <w:tc>
          <w:tcPr>
            <w:tcW w:w="992" w:type="dxa"/>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医疗卫生单位</w:t>
            </w:r>
          </w:p>
        </w:tc>
        <w:tc>
          <w:tcPr>
            <w:tcW w:w="992" w:type="dxa"/>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其他事业单位</w:t>
            </w:r>
          </w:p>
        </w:tc>
        <w:tc>
          <w:tcPr>
            <w:tcW w:w="851" w:type="dxa"/>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国有企业</w:t>
            </w:r>
          </w:p>
        </w:tc>
        <w:tc>
          <w:tcPr>
            <w:tcW w:w="850" w:type="dxa"/>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民营企业</w:t>
            </w:r>
          </w:p>
        </w:tc>
        <w:tc>
          <w:tcPr>
            <w:tcW w:w="851" w:type="dxa"/>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三资企业</w:t>
            </w:r>
          </w:p>
        </w:tc>
        <w:tc>
          <w:tcPr>
            <w:tcW w:w="709" w:type="dxa"/>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其他</w:t>
            </w:r>
          </w:p>
        </w:tc>
      </w:tr>
      <w:tr w:rsidR="00E43C2B">
        <w:trPr>
          <w:trHeight w:val="285"/>
          <w:jc w:val="center"/>
        </w:trPr>
        <w:tc>
          <w:tcPr>
            <w:tcW w:w="1271" w:type="dxa"/>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硕士签约</w:t>
            </w:r>
          </w:p>
        </w:tc>
        <w:tc>
          <w:tcPr>
            <w:tcW w:w="851" w:type="dxa"/>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20</w:t>
            </w:r>
          </w:p>
        </w:tc>
        <w:tc>
          <w:tcPr>
            <w:tcW w:w="992" w:type="dxa"/>
            <w:shd w:val="clear" w:color="auto" w:fill="auto"/>
            <w:vAlign w:val="center"/>
          </w:tcPr>
          <w:p w:rsidR="00E43C2B" w:rsidRDefault="00D8065E">
            <w:pPr>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3</w:t>
            </w:r>
          </w:p>
        </w:tc>
        <w:tc>
          <w:tcPr>
            <w:tcW w:w="1276" w:type="dxa"/>
            <w:shd w:val="clear" w:color="auto" w:fill="auto"/>
            <w:vAlign w:val="center"/>
          </w:tcPr>
          <w:p w:rsidR="00E43C2B" w:rsidRDefault="00D8065E">
            <w:pPr>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1</w:t>
            </w:r>
          </w:p>
        </w:tc>
        <w:tc>
          <w:tcPr>
            <w:tcW w:w="992" w:type="dxa"/>
            <w:shd w:val="clear" w:color="auto" w:fill="auto"/>
            <w:vAlign w:val="center"/>
          </w:tcPr>
          <w:p w:rsidR="00E43C2B" w:rsidRDefault="00D8065E">
            <w:pPr>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0</w:t>
            </w:r>
          </w:p>
        </w:tc>
        <w:tc>
          <w:tcPr>
            <w:tcW w:w="992" w:type="dxa"/>
            <w:shd w:val="clear" w:color="auto" w:fill="auto"/>
            <w:vAlign w:val="center"/>
          </w:tcPr>
          <w:p w:rsidR="00E43C2B" w:rsidRDefault="00D8065E">
            <w:pPr>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0</w:t>
            </w:r>
          </w:p>
        </w:tc>
        <w:tc>
          <w:tcPr>
            <w:tcW w:w="992" w:type="dxa"/>
            <w:shd w:val="clear" w:color="auto" w:fill="auto"/>
            <w:vAlign w:val="center"/>
          </w:tcPr>
          <w:p w:rsidR="00E43C2B" w:rsidRDefault="00D8065E">
            <w:pPr>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3</w:t>
            </w:r>
          </w:p>
        </w:tc>
        <w:tc>
          <w:tcPr>
            <w:tcW w:w="851" w:type="dxa"/>
            <w:shd w:val="clear" w:color="auto" w:fill="auto"/>
            <w:vAlign w:val="center"/>
          </w:tcPr>
          <w:p w:rsidR="00E43C2B" w:rsidRDefault="00D8065E">
            <w:pPr>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42</w:t>
            </w:r>
          </w:p>
        </w:tc>
        <w:tc>
          <w:tcPr>
            <w:tcW w:w="850" w:type="dxa"/>
            <w:shd w:val="clear" w:color="auto" w:fill="auto"/>
            <w:vAlign w:val="center"/>
          </w:tcPr>
          <w:p w:rsidR="00E43C2B" w:rsidRDefault="00D8065E">
            <w:pPr>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39</w:t>
            </w:r>
          </w:p>
        </w:tc>
        <w:tc>
          <w:tcPr>
            <w:tcW w:w="851" w:type="dxa"/>
            <w:shd w:val="clear" w:color="auto" w:fill="auto"/>
            <w:vAlign w:val="center"/>
          </w:tcPr>
          <w:p w:rsidR="00E43C2B" w:rsidRDefault="00D8065E">
            <w:pPr>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4</w:t>
            </w:r>
          </w:p>
        </w:tc>
        <w:tc>
          <w:tcPr>
            <w:tcW w:w="709" w:type="dxa"/>
            <w:shd w:val="clear" w:color="auto" w:fill="auto"/>
            <w:vAlign w:val="center"/>
          </w:tcPr>
          <w:p w:rsidR="00E43C2B" w:rsidRDefault="00D8065E">
            <w:pPr>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5</w:t>
            </w:r>
          </w:p>
        </w:tc>
      </w:tr>
      <w:tr w:rsidR="00E43C2B">
        <w:trPr>
          <w:trHeight w:val="285"/>
          <w:jc w:val="center"/>
        </w:trPr>
        <w:tc>
          <w:tcPr>
            <w:tcW w:w="1271" w:type="dxa"/>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博士签约</w:t>
            </w:r>
          </w:p>
        </w:tc>
        <w:tc>
          <w:tcPr>
            <w:tcW w:w="851" w:type="dxa"/>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0</w:t>
            </w:r>
          </w:p>
        </w:tc>
        <w:tc>
          <w:tcPr>
            <w:tcW w:w="992" w:type="dxa"/>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12</w:t>
            </w:r>
          </w:p>
        </w:tc>
        <w:tc>
          <w:tcPr>
            <w:tcW w:w="1276" w:type="dxa"/>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0</w:t>
            </w:r>
          </w:p>
        </w:tc>
        <w:tc>
          <w:tcPr>
            <w:tcW w:w="992" w:type="dxa"/>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0</w:t>
            </w:r>
          </w:p>
        </w:tc>
        <w:tc>
          <w:tcPr>
            <w:tcW w:w="992" w:type="dxa"/>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0</w:t>
            </w:r>
          </w:p>
        </w:tc>
        <w:tc>
          <w:tcPr>
            <w:tcW w:w="992" w:type="dxa"/>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0</w:t>
            </w:r>
          </w:p>
        </w:tc>
        <w:tc>
          <w:tcPr>
            <w:tcW w:w="851" w:type="dxa"/>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0</w:t>
            </w:r>
          </w:p>
        </w:tc>
        <w:tc>
          <w:tcPr>
            <w:tcW w:w="850" w:type="dxa"/>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1</w:t>
            </w:r>
          </w:p>
        </w:tc>
        <w:tc>
          <w:tcPr>
            <w:tcW w:w="851" w:type="dxa"/>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0</w:t>
            </w:r>
          </w:p>
        </w:tc>
        <w:tc>
          <w:tcPr>
            <w:tcW w:w="709" w:type="dxa"/>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0</w:t>
            </w:r>
          </w:p>
        </w:tc>
      </w:tr>
    </w:tbl>
    <w:p w:rsidR="00E43C2B" w:rsidRDefault="00D8065E">
      <w:pPr>
        <w:spacing w:line="400" w:lineRule="exact"/>
        <w:rPr>
          <w:rFonts w:ascii="宋体" w:eastAsia="宋体" w:hAnsi="宋体"/>
          <w:b/>
          <w:bCs/>
          <w:color w:val="000000"/>
          <w:szCs w:val="21"/>
        </w:rPr>
      </w:pPr>
      <w:r>
        <w:rPr>
          <w:rFonts w:ascii="宋体" w:eastAsia="宋体" w:hAnsi="宋体"/>
          <w:b/>
          <w:bCs/>
          <w:color w:val="000000"/>
          <w:sz w:val="21"/>
          <w:szCs w:val="21"/>
        </w:rPr>
        <w:t xml:space="preserve">表3 </w:t>
      </w:r>
      <w:r>
        <w:rPr>
          <w:rFonts w:ascii="宋体" w:eastAsia="宋体" w:hAnsi="宋体" w:hint="eastAsia"/>
          <w:b/>
          <w:bCs/>
          <w:color w:val="000000"/>
          <w:sz w:val="21"/>
          <w:szCs w:val="21"/>
        </w:rPr>
        <w:t>签约单位地域分布</w:t>
      </w:r>
    </w:p>
    <w:tbl>
      <w:tblPr>
        <w:tblW w:w="80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360"/>
        <w:gridCol w:w="1416"/>
        <w:gridCol w:w="1416"/>
        <w:gridCol w:w="1520"/>
        <w:gridCol w:w="1235"/>
        <w:gridCol w:w="1133"/>
      </w:tblGrid>
      <w:tr w:rsidR="00E43C2B">
        <w:trPr>
          <w:trHeight w:val="285"/>
          <w:jc w:val="center"/>
        </w:trPr>
        <w:tc>
          <w:tcPr>
            <w:tcW w:w="1360" w:type="dxa"/>
            <w:shd w:val="clear" w:color="auto" w:fill="auto"/>
            <w:noWrap/>
            <w:vAlign w:val="center"/>
          </w:tcPr>
          <w:p w:rsidR="00E43C2B" w:rsidRDefault="00D8065E">
            <w:pPr>
              <w:widowControl/>
              <w:spacing w:line="40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单位地域</w:t>
            </w:r>
          </w:p>
        </w:tc>
        <w:tc>
          <w:tcPr>
            <w:tcW w:w="1416" w:type="dxa"/>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本省</w:t>
            </w:r>
          </w:p>
        </w:tc>
        <w:tc>
          <w:tcPr>
            <w:tcW w:w="1416" w:type="dxa"/>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东部地区</w:t>
            </w:r>
          </w:p>
        </w:tc>
        <w:tc>
          <w:tcPr>
            <w:tcW w:w="1520" w:type="dxa"/>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中部地区</w:t>
            </w:r>
          </w:p>
        </w:tc>
        <w:tc>
          <w:tcPr>
            <w:tcW w:w="1235" w:type="dxa"/>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西部地区</w:t>
            </w:r>
          </w:p>
        </w:tc>
        <w:tc>
          <w:tcPr>
            <w:tcW w:w="1133" w:type="dxa"/>
            <w:shd w:val="clear" w:color="auto" w:fill="auto"/>
            <w:vAlign w:val="center"/>
          </w:tcPr>
          <w:p w:rsidR="00E43C2B" w:rsidRDefault="00D8065E">
            <w:pPr>
              <w:widowControl/>
              <w:spacing w:line="40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境外</w:t>
            </w:r>
          </w:p>
        </w:tc>
      </w:tr>
      <w:tr w:rsidR="00E43C2B">
        <w:trPr>
          <w:trHeight w:val="285"/>
          <w:jc w:val="center"/>
        </w:trPr>
        <w:tc>
          <w:tcPr>
            <w:tcW w:w="1360" w:type="dxa"/>
            <w:shd w:val="clear" w:color="auto" w:fill="auto"/>
            <w:noWrap/>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硕士</w:t>
            </w:r>
          </w:p>
        </w:tc>
        <w:tc>
          <w:tcPr>
            <w:tcW w:w="1416" w:type="dxa"/>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87</w:t>
            </w:r>
          </w:p>
        </w:tc>
        <w:tc>
          <w:tcPr>
            <w:tcW w:w="1416" w:type="dxa"/>
            <w:shd w:val="clear" w:color="auto" w:fill="auto"/>
            <w:vAlign w:val="center"/>
          </w:tcPr>
          <w:p w:rsidR="00E43C2B" w:rsidRDefault="00D8065E">
            <w:pPr>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14</w:t>
            </w:r>
          </w:p>
        </w:tc>
        <w:tc>
          <w:tcPr>
            <w:tcW w:w="1520" w:type="dxa"/>
            <w:shd w:val="clear" w:color="auto" w:fill="auto"/>
            <w:vAlign w:val="center"/>
          </w:tcPr>
          <w:p w:rsidR="00E43C2B" w:rsidRDefault="00D8065E">
            <w:pPr>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11</w:t>
            </w:r>
          </w:p>
        </w:tc>
        <w:tc>
          <w:tcPr>
            <w:tcW w:w="1235" w:type="dxa"/>
            <w:shd w:val="clear" w:color="auto" w:fill="auto"/>
            <w:vAlign w:val="center"/>
          </w:tcPr>
          <w:p w:rsidR="00E43C2B" w:rsidRDefault="00D8065E">
            <w:pPr>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4</w:t>
            </w:r>
          </w:p>
        </w:tc>
        <w:tc>
          <w:tcPr>
            <w:tcW w:w="1133" w:type="dxa"/>
            <w:shd w:val="clear" w:color="auto" w:fill="auto"/>
            <w:vAlign w:val="center"/>
          </w:tcPr>
          <w:p w:rsidR="00E43C2B" w:rsidRDefault="00D8065E">
            <w:pPr>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1</w:t>
            </w:r>
          </w:p>
        </w:tc>
      </w:tr>
      <w:tr w:rsidR="00E43C2B">
        <w:trPr>
          <w:trHeight w:val="300"/>
          <w:jc w:val="center"/>
        </w:trPr>
        <w:tc>
          <w:tcPr>
            <w:tcW w:w="1360" w:type="dxa"/>
            <w:shd w:val="clear" w:color="auto" w:fill="auto"/>
            <w:noWrap/>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博士</w:t>
            </w:r>
          </w:p>
        </w:tc>
        <w:tc>
          <w:tcPr>
            <w:tcW w:w="1416" w:type="dxa"/>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color w:val="000000"/>
                <w:kern w:val="0"/>
                <w:sz w:val="24"/>
              </w:rPr>
              <w:t>5</w:t>
            </w:r>
          </w:p>
        </w:tc>
        <w:tc>
          <w:tcPr>
            <w:tcW w:w="1416" w:type="dxa"/>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3</w:t>
            </w:r>
          </w:p>
        </w:tc>
        <w:tc>
          <w:tcPr>
            <w:tcW w:w="1520" w:type="dxa"/>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4</w:t>
            </w:r>
          </w:p>
        </w:tc>
        <w:tc>
          <w:tcPr>
            <w:tcW w:w="1235" w:type="dxa"/>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1</w:t>
            </w:r>
          </w:p>
        </w:tc>
        <w:tc>
          <w:tcPr>
            <w:tcW w:w="1133" w:type="dxa"/>
            <w:shd w:val="clear" w:color="auto" w:fill="auto"/>
            <w:vAlign w:val="center"/>
          </w:tcPr>
          <w:p w:rsidR="00E43C2B" w:rsidRDefault="00D8065E">
            <w:pPr>
              <w:widowControl/>
              <w:spacing w:line="400" w:lineRule="exact"/>
              <w:jc w:val="center"/>
              <w:rPr>
                <w:rFonts w:ascii="仿宋_GB2312" w:eastAsia="仿宋_GB2312" w:hAnsi="等线" w:cs="宋体"/>
                <w:color w:val="000000"/>
                <w:kern w:val="0"/>
                <w:sz w:val="24"/>
              </w:rPr>
            </w:pPr>
            <w:r>
              <w:rPr>
                <w:rFonts w:ascii="仿宋_GB2312" w:eastAsia="仿宋_GB2312" w:hAnsi="等线" w:cs="宋体"/>
                <w:color w:val="000000"/>
                <w:kern w:val="0"/>
                <w:sz w:val="24"/>
              </w:rPr>
              <w:t>0</w:t>
            </w:r>
          </w:p>
        </w:tc>
      </w:tr>
    </w:tbl>
    <w:p w:rsidR="00E43C2B" w:rsidRDefault="00D8065E">
      <w:pPr>
        <w:spacing w:line="560" w:lineRule="exact"/>
        <w:rPr>
          <w:rFonts w:ascii="宋体" w:eastAsia="宋体" w:hAnsi="宋体"/>
          <w:b/>
          <w:bCs/>
          <w:color w:val="000000"/>
          <w:sz w:val="21"/>
          <w:szCs w:val="21"/>
        </w:rPr>
      </w:pPr>
      <w:r>
        <w:rPr>
          <w:rFonts w:ascii="宋体" w:eastAsia="宋体" w:hAnsi="宋体"/>
          <w:b/>
          <w:bCs/>
          <w:color w:val="000000"/>
          <w:sz w:val="21"/>
          <w:szCs w:val="21"/>
        </w:rPr>
        <w:t xml:space="preserve"> </w:t>
      </w:r>
    </w:p>
    <w:p w:rsidR="00E43C2B" w:rsidRDefault="00D8065E">
      <w:pPr>
        <w:pStyle w:val="3"/>
        <w:spacing w:line="560" w:lineRule="exact"/>
        <w:ind w:firstLine="480"/>
        <w:rPr>
          <w:rFonts w:ascii="仿宋" w:eastAsia="仿宋" w:hAnsi="仿宋"/>
          <w:sz w:val="24"/>
          <w:szCs w:val="24"/>
        </w:rPr>
      </w:pPr>
      <w:r>
        <w:rPr>
          <w:rFonts w:ascii="仿宋" w:eastAsia="仿宋" w:hAnsi="仿宋" w:hint="eastAsia"/>
          <w:sz w:val="24"/>
          <w:szCs w:val="24"/>
        </w:rPr>
        <w:t>本学位点</w:t>
      </w:r>
      <w:r>
        <w:rPr>
          <w:rFonts w:ascii="仿宋" w:eastAsia="仿宋" w:hAnsi="仿宋"/>
          <w:sz w:val="24"/>
          <w:szCs w:val="24"/>
        </w:rPr>
        <w:t>硕士毕业生的就业主要集中在金融行业和</w:t>
      </w:r>
      <w:r>
        <w:rPr>
          <w:rFonts w:ascii="仿宋" w:eastAsia="仿宋" w:hAnsi="仿宋" w:hint="eastAsia"/>
          <w:sz w:val="24"/>
          <w:szCs w:val="24"/>
        </w:rPr>
        <w:t>其他</w:t>
      </w:r>
      <w:r>
        <w:rPr>
          <w:rFonts w:ascii="仿宋" w:eastAsia="仿宋" w:hAnsi="仿宋"/>
          <w:sz w:val="24"/>
          <w:szCs w:val="24"/>
        </w:rPr>
        <w:t>企事业单位，博士毕业生主要集中在高等教育科研单位</w:t>
      </w:r>
      <w:r>
        <w:rPr>
          <w:rFonts w:ascii="仿宋" w:eastAsia="仿宋" w:hAnsi="仿宋" w:hint="eastAsia"/>
          <w:sz w:val="24"/>
          <w:szCs w:val="24"/>
        </w:rPr>
        <w:t>；就业地域方面</w:t>
      </w:r>
      <w:r>
        <w:rPr>
          <w:rFonts w:ascii="仿宋" w:eastAsia="仿宋" w:hAnsi="仿宋"/>
          <w:sz w:val="24"/>
          <w:szCs w:val="24"/>
        </w:rPr>
        <w:t>，超过7成的研究生都选择留在广东就业，其中以广州市最多，其次为深圳</w:t>
      </w:r>
      <w:r>
        <w:rPr>
          <w:rFonts w:ascii="仿宋" w:eastAsia="仿宋" w:hAnsi="仿宋" w:hint="eastAsia"/>
          <w:sz w:val="24"/>
          <w:szCs w:val="24"/>
        </w:rPr>
        <w:t>；同时，毕业生积极投身国家艰苦地区和基层建设，到西部就业的毕业生结合专业特点，在金融、证券、保险等行业服务西部经济建设，充分发挥自身专业优势，为国家建设贡献自己的力量，少干计划毕业生秉承“以投身西部为荣、以服务基层为荣”的理念，利用专业所学投身西部基层建设。</w:t>
      </w:r>
    </w:p>
    <w:p w:rsidR="00E43C2B" w:rsidRDefault="00D8065E">
      <w:pPr>
        <w:pStyle w:val="3"/>
        <w:spacing w:line="560" w:lineRule="exact"/>
        <w:ind w:firstLineChars="0" w:firstLine="0"/>
        <w:rPr>
          <w:b/>
          <w:bCs/>
        </w:rPr>
      </w:pPr>
      <w:r>
        <w:rPr>
          <w:rFonts w:hint="eastAsia"/>
          <w:b/>
          <w:bCs/>
        </w:rPr>
        <w:t>四、服务贡献</w:t>
      </w:r>
    </w:p>
    <w:p w:rsidR="00E43C2B" w:rsidRDefault="00D8065E">
      <w:pPr>
        <w:spacing w:line="560" w:lineRule="exact"/>
        <w:ind w:firstLineChars="200" w:firstLine="480"/>
        <w:rPr>
          <w:rFonts w:ascii="仿宋" w:eastAsia="仿宋" w:hAnsi="仿宋"/>
          <w:sz w:val="24"/>
        </w:rPr>
      </w:pPr>
      <w:r>
        <w:rPr>
          <w:rFonts w:ascii="仿宋" w:eastAsia="仿宋" w:hAnsi="仿宋" w:hint="eastAsia"/>
          <w:sz w:val="24"/>
        </w:rPr>
        <w:t>学科依托完整的学科体系和科研实力，积极服务国家和地方经济社会发展。</w:t>
      </w:r>
    </w:p>
    <w:p w:rsidR="00E43C2B" w:rsidRDefault="00D8065E">
      <w:pPr>
        <w:spacing w:line="560" w:lineRule="exact"/>
        <w:ind w:firstLineChars="200" w:firstLine="480"/>
        <w:rPr>
          <w:rFonts w:ascii="仿宋" w:eastAsia="仿宋" w:hAnsi="仿宋"/>
          <w:sz w:val="24"/>
        </w:rPr>
      </w:pPr>
      <w:r>
        <w:rPr>
          <w:rFonts w:ascii="黑体" w:eastAsia="黑体" w:hAnsi="黑体" w:hint="eastAsia"/>
          <w:sz w:val="24"/>
        </w:rPr>
        <w:t>1.宣讲中央精神。</w:t>
      </w:r>
      <w:r>
        <w:rPr>
          <w:rFonts w:ascii="仿宋" w:eastAsia="仿宋" w:hAnsi="仿宋" w:hint="eastAsia"/>
          <w:sz w:val="24"/>
        </w:rPr>
        <w:t>学科教师是面向粤港澳大湾区宣传习近平总书记重要讲话精神和国内外经济政治形势的重要力量。教师紧跟中央形势坚持理论学习，20 余位教师担任广东省委宣传部经济形势宣讲团成员广东省委“两学一做”巡回宣讲团成员、学校党的十九大精神宣讲团成员等，为广东省直机关、广州市直机关、国务院侨办等中央部委相关涉外培训班、香港特别行政区公务员培训班、澳门公务员培训班等开展习近平总书记系列重要讲话精神、国内外经济形势新格局等相关专题讲座数百场，受众（含线上）达20余万人次,是粤港澳大湾区经济政治形势宣传的重要力量。</w:t>
      </w:r>
    </w:p>
    <w:p w:rsidR="00E43C2B" w:rsidRDefault="00D8065E">
      <w:pPr>
        <w:spacing w:line="560" w:lineRule="exact"/>
        <w:ind w:firstLineChars="200" w:firstLine="480"/>
        <w:rPr>
          <w:rFonts w:ascii="仿宋" w:eastAsia="仿宋" w:hAnsi="仿宋"/>
          <w:sz w:val="24"/>
        </w:rPr>
      </w:pPr>
      <w:r>
        <w:rPr>
          <w:rFonts w:ascii="黑体" w:eastAsia="黑体" w:hAnsi="黑体" w:hint="eastAsia"/>
          <w:sz w:val="24"/>
        </w:rPr>
        <w:t>2</w:t>
      </w:r>
      <w:r>
        <w:rPr>
          <w:rFonts w:ascii="黑体" w:eastAsia="黑体" w:hAnsi="黑体"/>
          <w:sz w:val="24"/>
        </w:rPr>
        <w:t>.</w:t>
      </w:r>
      <w:r>
        <w:rPr>
          <w:rFonts w:ascii="黑体" w:eastAsia="黑体" w:hAnsi="黑体" w:hint="eastAsia"/>
          <w:sz w:val="24"/>
        </w:rPr>
        <w:t>拓展国际</w:t>
      </w:r>
      <w:r>
        <w:rPr>
          <w:rFonts w:ascii="黑体" w:eastAsia="黑体" w:hAnsi="黑体"/>
          <w:sz w:val="24"/>
        </w:rPr>
        <w:t>人文交流。</w:t>
      </w:r>
      <w:r>
        <w:rPr>
          <w:rFonts w:ascii="仿宋" w:eastAsia="仿宋" w:hAnsi="仿宋"/>
          <w:sz w:val="24"/>
        </w:rPr>
        <w:t>依托引智基地与诺奖得主赫克曼教授开展深度合作；创建“芝加哥-暨南人类发展研究联合计划”，致力于人口流动、收入不平等</w:t>
      </w:r>
      <w:r>
        <w:rPr>
          <w:rFonts w:ascii="仿宋" w:eastAsia="仿宋" w:hAnsi="仿宋" w:hint="eastAsia"/>
          <w:sz w:val="24"/>
        </w:rPr>
        <w:t>、乡村振兴</w:t>
      </w:r>
      <w:r>
        <w:rPr>
          <w:rFonts w:ascii="仿宋" w:eastAsia="仿宋" w:hAnsi="仿宋"/>
          <w:sz w:val="24"/>
        </w:rPr>
        <w:t>等重大问题研究。经由暨南大学推荐，赫克曼教授荣获“中国政府友谊奖”。</w:t>
      </w:r>
      <w:r>
        <w:rPr>
          <w:rFonts w:ascii="仿宋" w:eastAsia="仿宋" w:hAnsi="仿宋" w:hint="eastAsia"/>
          <w:sz w:val="24"/>
        </w:rPr>
        <w:t>2020年，芝加哥大学经济学教授、Journal of Political Economy共同主编（Editor）Greg Kaplan教授，哈佛大学教授、全球著名城市经济学家、《城市的胜利》作者Edward Glaeser教授等全球知名学者受“大师暨南行”邀请，开展线上学术讲座交流，引起广泛反响。</w:t>
      </w:r>
    </w:p>
    <w:p w:rsidR="00E43C2B" w:rsidRDefault="00D8065E">
      <w:pPr>
        <w:spacing w:line="560" w:lineRule="exact"/>
        <w:ind w:firstLineChars="200" w:firstLine="480"/>
        <w:rPr>
          <w:rFonts w:ascii="仿宋" w:eastAsia="仿宋" w:hAnsi="仿宋"/>
          <w:sz w:val="24"/>
        </w:rPr>
      </w:pPr>
      <w:r>
        <w:rPr>
          <w:rFonts w:ascii="黑体" w:eastAsia="黑体" w:hAnsi="黑体" w:hint="eastAsia"/>
          <w:sz w:val="24"/>
        </w:rPr>
        <w:t>3.积极建言献策。</w:t>
      </w:r>
      <w:r>
        <w:rPr>
          <w:rFonts w:ascii="仿宋" w:eastAsia="仿宋" w:hAnsi="仿宋" w:hint="eastAsia"/>
          <w:sz w:val="24"/>
        </w:rPr>
        <w:t>一是进一步完善大统战工作格局，充分发挥人才荟萃、智力密集、联系广泛等优势。围绕党和国家重大决策部署献计出力，服务国家和广东经济社会发展需求。其中，由广东省政协委员、民建暨大基层主委杨森平教授撰写的《关于加快推进我省城乡融合发展、开创实现共同富裕广东路径的提案》等3项被确认为2022年广东省政协重点提案，杨森平教授获聘天河区政协第九届委员会顾问委员；民进暨大基层委副主委杨广仁教授获“广东民进为全面建成小康社会作贡献先进个人”荣誉称号；钟韵教授、谢宝剑教授在香港《大公报》发表理论文章。</w:t>
      </w:r>
    </w:p>
    <w:p w:rsidR="00E43C2B" w:rsidRDefault="00D8065E">
      <w:pPr>
        <w:spacing w:line="560" w:lineRule="exact"/>
        <w:ind w:firstLineChars="200" w:firstLine="480"/>
        <w:rPr>
          <w:rFonts w:ascii="仿宋" w:eastAsia="仿宋" w:hAnsi="仿宋"/>
          <w:sz w:val="24"/>
          <w:highlight w:val="yellow"/>
        </w:rPr>
      </w:pPr>
      <w:r>
        <w:rPr>
          <w:rFonts w:ascii="仿宋" w:eastAsia="仿宋" w:hAnsi="仿宋" w:hint="eastAsia"/>
          <w:sz w:val="24"/>
        </w:rPr>
        <w:t>二是团结海内外中华儿女，为实现中华民族伟大复兴的中国梦贡献力量。其中，新西兰侨领胡颖华博士生撰写的提案《关于引导和激励侨商企业参与粤港澳大湾区建设、推动形成更高水平对外开放格局的建议》获评“全国政协2021年度好提案”；2020级经济统计学本科生刘婉榆（中国台湾）在教育部组织的2021年“回首百年奋斗路 迈向复兴新征程”港澳台学生主题征文活动中获一等奖。</w:t>
      </w:r>
    </w:p>
    <w:p w:rsidR="00E43C2B" w:rsidRDefault="00D8065E">
      <w:pPr>
        <w:spacing w:line="560" w:lineRule="exact"/>
        <w:ind w:firstLineChars="200" w:firstLine="480"/>
        <w:rPr>
          <w:rFonts w:ascii="仿宋" w:eastAsia="仿宋" w:hAnsi="仿宋"/>
          <w:sz w:val="24"/>
        </w:rPr>
      </w:pPr>
      <w:r>
        <w:rPr>
          <w:rFonts w:ascii="黑体" w:eastAsia="黑体" w:hAnsi="黑体"/>
          <w:sz w:val="24"/>
        </w:rPr>
        <w:t>4.</w:t>
      </w:r>
      <w:r>
        <w:rPr>
          <w:rFonts w:ascii="黑体" w:eastAsia="黑体" w:hAnsi="黑体" w:hint="eastAsia"/>
          <w:sz w:val="24"/>
        </w:rPr>
        <w:t>打造高端</w:t>
      </w:r>
      <w:r>
        <w:rPr>
          <w:rFonts w:ascii="黑体" w:eastAsia="黑体" w:hAnsi="黑体"/>
          <w:sz w:val="24"/>
        </w:rPr>
        <w:t>智库。</w:t>
      </w:r>
      <w:r>
        <w:rPr>
          <w:rFonts w:ascii="仿宋" w:eastAsia="仿宋" w:hAnsi="仿宋"/>
          <w:sz w:val="24"/>
        </w:rPr>
        <w:t>以平台建设为抓手，打造服务粤港澳大湾区 “智高点”。紧紧围绕国家所需、湾区所向，发挥暨大所长，建设多个高端智库：</w:t>
      </w:r>
      <w:r>
        <w:rPr>
          <w:rFonts w:ascii="仿宋" w:eastAsia="仿宋" w:hAnsi="仿宋" w:hint="eastAsia"/>
          <w:sz w:val="24"/>
        </w:rPr>
        <w:t>南方高等金融研究院、乡村振兴研究院、</w:t>
      </w:r>
      <w:r>
        <w:rPr>
          <w:rFonts w:ascii="仿宋" w:eastAsia="仿宋" w:hAnsi="仿宋"/>
          <w:sz w:val="24"/>
        </w:rPr>
        <w:t>特区港澳经济研究所（主体）、广东产业发展与粤港澳台区域合作研究中心、粤港澳大湾区经济发展研究中心、“一带一路”与粤港澳大湾区研究院（国家发改委共建）、中国自由贸易试验区研究院，已经成为服务</w:t>
      </w:r>
      <w:r>
        <w:rPr>
          <w:rFonts w:ascii="仿宋" w:eastAsia="仿宋" w:hAnsi="仿宋" w:hint="eastAsia"/>
          <w:sz w:val="24"/>
        </w:rPr>
        <w:t>国家经济社会高质量发展和</w:t>
      </w:r>
      <w:r>
        <w:rPr>
          <w:rFonts w:ascii="仿宋" w:eastAsia="仿宋" w:hAnsi="仿宋"/>
          <w:sz w:val="24"/>
        </w:rPr>
        <w:t>粤港澳大湾区建设的重要智库群。</w:t>
      </w:r>
      <w:r>
        <w:rPr>
          <w:rFonts w:ascii="仿宋" w:eastAsia="仿宋" w:hAnsi="仿宋" w:hint="eastAsia"/>
          <w:sz w:val="24"/>
        </w:rPr>
        <w:t>推进新型智库建设，聘任陈焕辉等1</w:t>
      </w:r>
      <w:r>
        <w:rPr>
          <w:rFonts w:ascii="仿宋" w:eastAsia="仿宋" w:hAnsi="仿宋"/>
          <w:sz w:val="24"/>
        </w:rPr>
        <w:t>1</w:t>
      </w:r>
      <w:r>
        <w:rPr>
          <w:rFonts w:ascii="仿宋" w:eastAsia="仿宋" w:hAnsi="仿宋" w:hint="eastAsia"/>
          <w:sz w:val="24"/>
        </w:rPr>
        <w:t>名校友为首批特聘智库研究员。举办首届暨南经院校友学术论坛，19位校友分享了最新学术研究成果，</w:t>
      </w:r>
    </w:p>
    <w:p w:rsidR="00E43C2B" w:rsidRDefault="00D8065E">
      <w:pPr>
        <w:pStyle w:val="3"/>
        <w:spacing w:line="560" w:lineRule="exact"/>
        <w:ind w:firstLineChars="0" w:firstLine="0"/>
        <w:rPr>
          <w:b/>
          <w:bCs/>
        </w:rPr>
      </w:pPr>
      <w:r>
        <w:rPr>
          <w:rFonts w:hint="eastAsia"/>
          <w:b/>
          <w:bCs/>
        </w:rPr>
        <w:t>五、存在的问题</w:t>
      </w:r>
    </w:p>
    <w:p w:rsidR="00E43C2B" w:rsidRDefault="00D8065E">
      <w:pPr>
        <w:spacing w:line="560" w:lineRule="exact"/>
        <w:ind w:firstLineChars="200" w:firstLine="480"/>
        <w:rPr>
          <w:rFonts w:ascii="仿宋" w:eastAsia="仿宋" w:hAnsi="仿宋"/>
          <w:sz w:val="24"/>
        </w:rPr>
      </w:pPr>
      <w:r>
        <w:rPr>
          <w:rFonts w:ascii="仿宋" w:eastAsia="仿宋" w:hAnsi="仿宋"/>
          <w:sz w:val="24"/>
        </w:rPr>
        <w:t>1.</w:t>
      </w:r>
      <w:r>
        <w:rPr>
          <w:rFonts w:ascii="仿宋" w:eastAsia="仿宋" w:hAnsi="仿宋" w:hint="eastAsia"/>
          <w:sz w:val="24"/>
        </w:rPr>
        <w:t>师资队伍质量与国内外一流学科仍有一定差距。要不断完善高层次人才引进办法及相应配套措施，采用多种形式，培养、引进高层次优秀人才；打造一流的学科团队，培养一批国内学术骨干。</w:t>
      </w:r>
    </w:p>
    <w:p w:rsidR="00E43C2B" w:rsidRDefault="00D8065E">
      <w:pPr>
        <w:spacing w:line="560" w:lineRule="exact"/>
        <w:ind w:firstLineChars="200" w:firstLine="480"/>
        <w:rPr>
          <w:rFonts w:ascii="仿宋" w:eastAsia="仿宋" w:hAnsi="仿宋"/>
          <w:sz w:val="24"/>
        </w:rPr>
      </w:pPr>
      <w:r>
        <w:rPr>
          <w:rFonts w:ascii="仿宋" w:eastAsia="仿宋" w:hAnsi="仿宋" w:hint="eastAsia"/>
          <w:sz w:val="24"/>
        </w:rPr>
        <w:t>2</w:t>
      </w:r>
      <w:r>
        <w:rPr>
          <w:rFonts w:ascii="仿宋" w:eastAsia="仿宋" w:hAnsi="仿宋"/>
          <w:sz w:val="24"/>
        </w:rPr>
        <w:t>.</w:t>
      </w:r>
      <w:r>
        <w:rPr>
          <w:rFonts w:ascii="仿宋" w:eastAsia="仿宋" w:hAnsi="仿宋" w:hint="eastAsia"/>
          <w:sz w:val="24"/>
        </w:rPr>
        <w:t>人才培养方面的显示性成果偏少，突出表现为缺乏国家级教学成果奖、精品课程较少，在校生的显示性成果不够多，博士毕业生就业层次仍有提升空间。</w:t>
      </w:r>
    </w:p>
    <w:p w:rsidR="00E43C2B" w:rsidRDefault="00D8065E">
      <w:pPr>
        <w:spacing w:line="560" w:lineRule="exact"/>
        <w:ind w:firstLineChars="200" w:firstLine="480"/>
        <w:rPr>
          <w:rFonts w:ascii="仿宋" w:eastAsia="仿宋" w:hAnsi="仿宋"/>
          <w:sz w:val="24"/>
        </w:rPr>
      </w:pPr>
      <w:r>
        <w:rPr>
          <w:rFonts w:ascii="仿宋" w:eastAsia="仿宋" w:hAnsi="仿宋" w:hint="eastAsia"/>
          <w:sz w:val="24"/>
        </w:rPr>
        <w:t>3</w:t>
      </w:r>
      <w:r>
        <w:rPr>
          <w:rFonts w:ascii="仿宋" w:eastAsia="仿宋" w:hAnsi="仿宋"/>
          <w:sz w:val="24"/>
        </w:rPr>
        <w:t>.</w:t>
      </w:r>
      <w:r>
        <w:rPr>
          <w:rFonts w:ascii="仿宋" w:eastAsia="仿宋" w:hAnsi="仿宋" w:hint="eastAsia"/>
          <w:sz w:val="24"/>
        </w:rPr>
        <w:t>囿于学校办学条件，博士生学制3年过短，不适合目前博士生的培养周期实情，改为4年学制，能为博士研究生培养提供住宿、学费资助等更好的外部环境。</w:t>
      </w:r>
    </w:p>
    <w:p w:rsidR="00E43C2B" w:rsidRDefault="00D8065E">
      <w:pPr>
        <w:spacing w:line="560" w:lineRule="exact"/>
        <w:ind w:firstLineChars="200" w:firstLine="480"/>
        <w:rPr>
          <w:rFonts w:ascii="仿宋" w:eastAsia="仿宋" w:hAnsi="仿宋"/>
          <w:sz w:val="24"/>
        </w:rPr>
      </w:pPr>
      <w:r>
        <w:rPr>
          <w:rFonts w:ascii="仿宋" w:eastAsia="仿宋" w:hAnsi="仿宋"/>
          <w:sz w:val="24"/>
        </w:rPr>
        <w:t>4.</w:t>
      </w:r>
      <w:r>
        <w:rPr>
          <w:rFonts w:ascii="仿宋" w:eastAsia="仿宋" w:hAnsi="仿宋" w:hint="eastAsia"/>
          <w:sz w:val="24"/>
        </w:rPr>
        <w:t>研究生扩招，叠加疫情影响，研究生在优质期刊上发表论文更难。</w:t>
      </w:r>
    </w:p>
    <w:p w:rsidR="00E43C2B" w:rsidRDefault="00E43C2B">
      <w:pPr>
        <w:pStyle w:val="3"/>
      </w:pPr>
    </w:p>
    <w:p w:rsidR="00E43C2B" w:rsidRDefault="00E43C2B"/>
    <w:p w:rsidR="00E43C2B" w:rsidRDefault="00D8065E">
      <w:pPr>
        <w:pStyle w:val="3"/>
        <w:spacing w:line="560" w:lineRule="exact"/>
        <w:ind w:firstLineChars="0" w:firstLine="0"/>
        <w:rPr>
          <w:b/>
          <w:bCs/>
        </w:rPr>
      </w:pPr>
      <w:r>
        <w:rPr>
          <w:rFonts w:hint="eastAsia"/>
          <w:b/>
          <w:bCs/>
        </w:rPr>
        <w:t>六、下一年建设计划</w:t>
      </w:r>
    </w:p>
    <w:p w:rsidR="00E43C2B" w:rsidRDefault="00D8065E">
      <w:pPr>
        <w:rPr>
          <w:rFonts w:ascii="黑体" w:eastAsia="黑体" w:hAnsi="黑体"/>
        </w:rPr>
      </w:pPr>
      <w:r>
        <w:rPr>
          <w:rFonts w:ascii="黑体" w:eastAsia="黑体" w:hAnsi="黑体" w:hint="eastAsia"/>
        </w:rPr>
        <w:t>（一）计划</w:t>
      </w:r>
    </w:p>
    <w:p w:rsidR="00E43C2B" w:rsidRDefault="00D8065E">
      <w:pPr>
        <w:spacing w:line="560" w:lineRule="exact"/>
        <w:ind w:firstLineChars="200" w:firstLine="480"/>
      </w:pPr>
      <w:r>
        <w:rPr>
          <w:rFonts w:ascii="仿宋" w:eastAsia="仿宋" w:hAnsi="仿宋" w:hint="eastAsia"/>
          <w:sz w:val="24"/>
        </w:rPr>
        <w:t>力争把我校应用经济学学科建设成为华南地区领先、国内知名并具有自己特色和广泛影响力的学科；打造出具有自身特色、国内知名的应用经济学研究生教育品牌。</w:t>
      </w:r>
    </w:p>
    <w:p w:rsidR="00E43C2B" w:rsidRDefault="00D8065E">
      <w:pPr>
        <w:rPr>
          <w:rFonts w:ascii="黑体" w:eastAsia="黑体" w:hAnsi="黑体"/>
        </w:rPr>
      </w:pPr>
      <w:r>
        <w:rPr>
          <w:rFonts w:ascii="黑体" w:eastAsia="黑体" w:hAnsi="黑体" w:hint="eastAsia"/>
        </w:rPr>
        <w:t>（二）举措</w:t>
      </w:r>
    </w:p>
    <w:p w:rsidR="00E43C2B" w:rsidRDefault="00D8065E">
      <w:pPr>
        <w:spacing w:line="560" w:lineRule="exact"/>
        <w:ind w:firstLineChars="200" w:firstLine="480"/>
        <w:rPr>
          <w:rFonts w:ascii="仿宋" w:eastAsia="仿宋" w:hAnsi="仿宋"/>
          <w:sz w:val="24"/>
        </w:rPr>
      </w:pPr>
      <w:r>
        <w:rPr>
          <w:rFonts w:ascii="仿宋" w:eastAsia="仿宋" w:hAnsi="仿宋" w:hint="eastAsia"/>
          <w:sz w:val="24"/>
        </w:rPr>
        <w:t>未来一年，本授权点主要从师资队伍、科学研究、人才培养、条件建设等方面进行建设，保障上述发展目标的实现。具体措施如下：</w:t>
      </w:r>
    </w:p>
    <w:p w:rsidR="00E43C2B" w:rsidRDefault="00D8065E">
      <w:pPr>
        <w:spacing w:line="560" w:lineRule="exact"/>
        <w:ind w:firstLineChars="200" w:firstLine="480"/>
        <w:rPr>
          <w:rFonts w:ascii="黑体" w:eastAsia="黑体" w:hAnsi="黑体"/>
          <w:sz w:val="24"/>
        </w:rPr>
      </w:pPr>
      <w:r>
        <w:rPr>
          <w:rFonts w:ascii="黑体" w:eastAsia="黑体" w:hAnsi="黑体" w:hint="eastAsia"/>
          <w:sz w:val="24"/>
        </w:rPr>
        <w:t>1.师资队伍</w:t>
      </w:r>
    </w:p>
    <w:p w:rsidR="00E43C2B" w:rsidRDefault="00D8065E">
      <w:pPr>
        <w:spacing w:line="560" w:lineRule="exact"/>
        <w:ind w:firstLineChars="200" w:firstLine="480"/>
        <w:rPr>
          <w:rFonts w:ascii="黑体" w:eastAsia="黑体" w:hAnsi="黑体"/>
          <w:sz w:val="24"/>
        </w:rPr>
      </w:pPr>
      <w:r>
        <w:rPr>
          <w:rFonts w:ascii="仿宋" w:eastAsia="仿宋" w:hAnsi="仿宋" w:hint="eastAsia"/>
          <w:sz w:val="24"/>
        </w:rPr>
        <w:t>根据学科发展需求和重点发展专业精准引进人才，培养一支规模适度、结构多元、国内一流的师资队伍。严把“入口”关，通过多轮全方位的面试，全面考察引进人才的学术水平、发展潜力、师德师风情况等，对拟引进人才作出客观评价。按照“破五唯”的基本精神，推进人才管理体制、人才培养支持机制、人才评价机制、人才流动机制和人才激励机制等方面的改革，激发人才队伍活力。整合社会各界优势资源，进一步充实经济学科腾飞计划人才基金，用于经济学科的人才引进和培养；通过人才的“引进”和“激励”，引导教师从事高水平、引领性的研究。对于引进人才进行教学科研、项目申报、指导学生等多方面培训，做好人才引进服务工作；鼓励并引导骨干教师聚焦具有重大现实和理论意义的研究领域，深耕细作，打造高水平、原创性学术成果；做好博士后管理，挖掘博士后潜力，充分发挥博士后等在科研和教学方面的积极作用。</w:t>
      </w:r>
      <w:r>
        <w:rPr>
          <w:rFonts w:ascii="仿宋" w:eastAsia="仿宋" w:hAnsi="仿宋"/>
          <w:sz w:val="24"/>
        </w:rPr>
        <w:cr/>
      </w:r>
      <w:r>
        <w:rPr>
          <w:rFonts w:ascii="黑体" w:eastAsia="黑体" w:hAnsi="黑体"/>
          <w:sz w:val="24"/>
        </w:rPr>
        <w:t xml:space="preserve">    </w:t>
      </w:r>
      <w:r>
        <w:rPr>
          <w:rFonts w:ascii="黑体" w:eastAsia="黑体" w:hAnsi="黑体" w:hint="eastAsia"/>
          <w:sz w:val="24"/>
        </w:rPr>
        <w:t>2.科学研究</w:t>
      </w:r>
    </w:p>
    <w:p w:rsidR="00E43C2B" w:rsidRDefault="00D8065E">
      <w:pPr>
        <w:spacing w:line="560" w:lineRule="exact"/>
        <w:ind w:firstLineChars="200" w:firstLine="480"/>
        <w:rPr>
          <w:rFonts w:ascii="黑体" w:eastAsia="黑体" w:hAnsi="黑体"/>
          <w:sz w:val="24"/>
        </w:rPr>
      </w:pPr>
      <w:r>
        <w:rPr>
          <w:rFonts w:ascii="仿宋" w:eastAsia="仿宋" w:hAnsi="仿宋" w:hint="eastAsia"/>
          <w:sz w:val="24"/>
        </w:rPr>
        <w:t>瞄准世界先进水平，把握学科国际发展前沿，借鉴和创新研究方法，进行原创性理论研究，出一流学术成果。探索人口、资源与环境经济学，区域经济学与环境科学、海洋科学；统计学、金融学与大数据、数学等“新金融/新经济”方面的学科交叉融合，打造学科新增长点。围绕国家和广东省重要需求进行选题，凝练研究方向，打造学科新增长点，力争产出更多的国家重大重点项目、取得一批具有重大应用价值的成果，为国家和广东省提供决策依据。开展大型社会调查项目，包括：广东千村调查、绵竹儿童认知与非认知能力发展追踪项目等，为政策制定及学术研究提供高质量的微观数据。充分利用港澳特区经济研究所、广东产业发展与粤港澳台区域合作研究中心等研究机构，做好服务地方经济工作，确立在粤港澳大湾区经济研究智库研究的主体地位。</w:t>
      </w:r>
      <w:r>
        <w:rPr>
          <w:rFonts w:ascii="仿宋" w:eastAsia="仿宋" w:hAnsi="仿宋"/>
          <w:sz w:val="24"/>
        </w:rPr>
        <w:cr/>
      </w:r>
      <w:r>
        <w:rPr>
          <w:rFonts w:ascii="黑体" w:eastAsia="黑体" w:hAnsi="黑体"/>
          <w:sz w:val="24"/>
        </w:rPr>
        <w:t xml:space="preserve">    </w:t>
      </w:r>
      <w:r>
        <w:rPr>
          <w:rFonts w:ascii="黑体" w:eastAsia="黑体" w:hAnsi="黑体" w:hint="eastAsia"/>
          <w:sz w:val="24"/>
        </w:rPr>
        <w:t>3.人才培养</w:t>
      </w:r>
    </w:p>
    <w:p w:rsidR="00E43C2B" w:rsidRDefault="00D8065E">
      <w:pPr>
        <w:spacing w:line="560" w:lineRule="exact"/>
        <w:ind w:firstLineChars="200" w:firstLine="480"/>
        <w:rPr>
          <w:rFonts w:ascii="黑体" w:eastAsia="黑体" w:hAnsi="黑体"/>
          <w:sz w:val="24"/>
        </w:rPr>
      </w:pPr>
      <w:r>
        <w:rPr>
          <w:rFonts w:ascii="仿宋" w:eastAsia="仿宋" w:hAnsi="仿宋" w:hint="eastAsia"/>
          <w:sz w:val="24"/>
        </w:rPr>
        <w:t>将思想政治教育贯穿学生培养全过程，搭建服务学生成长成才的平台，强化学术科技、创新创业、社会实践、校园文化的育人实效。实施学术型研究生导师招生资格周期性考核，在前期探索的基础上，全院推行主导师与副导师制相结合的研究生指导制度。根据一流学术科研能力培养的要求，对学术型学位研究生课程进行建设：优化学术学位研究生课程体系；加快推进硕博课程体系的一体化建设。继续强化资格考试、论文开题、中期考核、论文进展、预答辩、正式答辩各个环节的质量控制，加强对研究生参与学术交流的支持。重点针对学术型研究生，细化申请学位多元化学术要求，引导研究生致力于高水平创新研究探索。</w:t>
      </w:r>
      <w:r>
        <w:rPr>
          <w:rFonts w:ascii="仿宋" w:eastAsia="仿宋" w:hAnsi="仿宋"/>
          <w:sz w:val="24"/>
        </w:rPr>
        <w:cr/>
      </w:r>
      <w:r>
        <w:rPr>
          <w:rFonts w:ascii="黑体" w:eastAsia="黑体" w:hAnsi="黑体"/>
          <w:sz w:val="24"/>
        </w:rPr>
        <w:t xml:space="preserve">    </w:t>
      </w:r>
      <w:r>
        <w:rPr>
          <w:rFonts w:ascii="黑体" w:eastAsia="黑体" w:hAnsi="黑体" w:hint="eastAsia"/>
          <w:sz w:val="24"/>
        </w:rPr>
        <w:t>4.条件建设</w:t>
      </w:r>
    </w:p>
    <w:p w:rsidR="00E43C2B" w:rsidRDefault="00D8065E">
      <w:pPr>
        <w:spacing w:line="560" w:lineRule="exact"/>
        <w:ind w:firstLineChars="200" w:firstLine="480"/>
      </w:pPr>
      <w:r>
        <w:rPr>
          <w:rFonts w:ascii="仿宋" w:eastAsia="仿宋" w:hAnsi="仿宋" w:hint="eastAsia"/>
          <w:sz w:val="24"/>
        </w:rPr>
        <w:t>着力建设好“广东产业转型升级协同创新中心”“暨南大学南方高等金融研究院”“暨南大学乡村振兴研究院”“广东产业发展与粤港澳台区域合作研究中心"等科研平台，使之成为知识文化交流与传承的平台。全面服务国家涉湾区各项急、重、新任务。以政策参与为导向，服务粤港澳大湾区各重点领域政策制定。以政策宣讲为媒介，为推进大湾区建设营造良好社会舆论氛围。建立“研究中心、横向课题、要报批示、干部培训”四位一体决策咨询服务体系，服务广东现代化产业体系，为广东省经济高质量发展提供了重要支持。以暨南大学乡村振兴研究院为依托，组建高水平专职研究与调查队伍，建设高质量的乡村振兴调查数据库，系统总结提炼广东乡村振兴宝贵经验，打造高水平的乡村振兴学术交流平台，努力将研究院建成有国际影响、全国领先、广东一流的乡村振兴智库。</w:t>
      </w:r>
    </w:p>
    <w:sectPr w:rsidR="00E43C2B">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65E" w:rsidRDefault="00D8065E">
      <w:r>
        <w:separator/>
      </w:r>
    </w:p>
  </w:endnote>
  <w:endnote w:type="continuationSeparator" w:id="0">
    <w:p w:rsidR="00D8065E" w:rsidRDefault="00D80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仿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0" w:usb1="00000000" w:usb2="00000000" w:usb3="00000000" w:csb0="00040000" w:csb1="00000000"/>
  </w:font>
  <w:font w:name="等线">
    <w:altName w:val="Arial Unicode MS"/>
    <w:charset w:val="86"/>
    <w:family w:val="auto"/>
    <w:pitch w:val="default"/>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C2B" w:rsidRDefault="00D8065E">
    <w:pPr>
      <w:pStyle w:val="a7"/>
      <w:widowControl/>
      <w:jc w:val="center"/>
      <w:textAlignment w:val="baseline"/>
      <w:rPr>
        <w:rStyle w:val="NormalCharacter"/>
        <w:rFonts w:ascii="Times New Roman" w:eastAsia="宋体" w:hAnsi="Times New Roman"/>
        <w:sz w:val="28"/>
        <w:szCs w:val="28"/>
      </w:rPr>
    </w:pPr>
    <w:r>
      <w:rPr>
        <w:rStyle w:val="NormalCharacter"/>
        <w:rFonts w:ascii="Times New Roman" w:eastAsia="宋体" w:hAnsi="Times New Roman"/>
        <w:noProof/>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E43C2B" w:rsidRDefault="00E43C2B">
                          <w:pPr>
                            <w:pStyle w:val="a7"/>
                            <w:widowControl/>
                            <w:jc w:val="center"/>
                            <w:textAlignment w:val="baseline"/>
                            <w:rPr>
                              <w:rStyle w:val="NormalCharacter"/>
                              <w:rFonts w:ascii="仿宋_GB2312" w:eastAsia="仿宋_GB2312" w:hAnsi="仿宋_GB2312"/>
                              <w:sz w:val="28"/>
                              <w:szCs w:val="28"/>
                            </w:rPr>
                          </w:pPr>
                        </w:p>
                      </w:txbxContent>
                    </wps:txbx>
                    <wps:bodyPr lIns="0" tIns="0" rIns="0" bIns="0" anchor="t" anchorCtr="0" upright="1"/>
                  </wps:wsp>
                </a:graphicData>
              </a:graphic>
            </wp:anchor>
          </w:drawing>
        </mc:Choice>
        <mc:Fallback xmlns:wpsCustomData="http://www.wps.cn/officeDocument/2013/wpsCustomData" xmlns:w15="http://schemas.microsoft.com/office/word/2012/wordml">
          <w:pict>
            <v:shape id="文本框 44" o:spid="_x0000_s1026" o:spt="202" type="#_x0000_t202"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3u45fSAAAABQEAAA8AAAAAAAAAAQAgAAAAIgAAAGRycy9kb3du&#10;cmV2LnhtbFBLAQIUABQAAAAIAIdO4kAyMoZDzAEAAJgDAAAOAAAAAAAAAAEAIAAAACEBAABkcnMv&#10;ZTJvRG9jLnhtbFBLBQYAAAAABgAGAFkBAABfBQAAAAA=&#10;">
              <v:fill on="f" focussize="0,0"/>
              <v:stroke on="f" weight="1.25pt"/>
              <v:imagedata o:title=""/>
              <o:lock v:ext="edit" aspectratio="f"/>
              <v:textbox inset="0mm,0mm,0mm,0mm">
                <w:txbxContent>
                  <w:p w14:paraId="52929C72">
                    <w:pPr>
                      <w:pStyle w:val="8"/>
                      <w:widowControl/>
                      <w:jc w:val="center"/>
                      <w:textAlignment w:val="baseline"/>
                      <w:rPr>
                        <w:rStyle w:val="23"/>
                        <w:rFonts w:ascii="仿宋_GB2312" w:hAnsi="仿宋_GB2312" w:eastAsia="仿宋_GB2312"/>
                        <w:sz w:val="28"/>
                        <w:szCs w:val="28"/>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65E" w:rsidRDefault="00D8065E">
      <w:r>
        <w:separator/>
      </w:r>
    </w:p>
  </w:footnote>
  <w:footnote w:type="continuationSeparator" w:id="0">
    <w:p w:rsidR="00D8065E" w:rsidRDefault="00D806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DEB"/>
    <w:rsid w:val="00001FAA"/>
    <w:rsid w:val="000036A3"/>
    <w:rsid w:val="0000504C"/>
    <w:rsid w:val="00022694"/>
    <w:rsid w:val="00024598"/>
    <w:rsid w:val="00027522"/>
    <w:rsid w:val="00033EA8"/>
    <w:rsid w:val="000341A4"/>
    <w:rsid w:val="000625B1"/>
    <w:rsid w:val="00067EC4"/>
    <w:rsid w:val="00072396"/>
    <w:rsid w:val="00072EE0"/>
    <w:rsid w:val="00073C9B"/>
    <w:rsid w:val="00075410"/>
    <w:rsid w:val="00082791"/>
    <w:rsid w:val="000A15E1"/>
    <w:rsid w:val="000A1D41"/>
    <w:rsid w:val="000A6960"/>
    <w:rsid w:val="000B40A6"/>
    <w:rsid w:val="000D58F0"/>
    <w:rsid w:val="000D755F"/>
    <w:rsid w:val="000E7E8B"/>
    <w:rsid w:val="000F1642"/>
    <w:rsid w:val="000F3602"/>
    <w:rsid w:val="000F5381"/>
    <w:rsid w:val="001157C5"/>
    <w:rsid w:val="001235F8"/>
    <w:rsid w:val="001254FF"/>
    <w:rsid w:val="00131922"/>
    <w:rsid w:val="00152F5C"/>
    <w:rsid w:val="00155066"/>
    <w:rsid w:val="00157B6D"/>
    <w:rsid w:val="00160B8E"/>
    <w:rsid w:val="001752D5"/>
    <w:rsid w:val="00177A2A"/>
    <w:rsid w:val="001829C8"/>
    <w:rsid w:val="001A0413"/>
    <w:rsid w:val="001A0D11"/>
    <w:rsid w:val="001A0FC5"/>
    <w:rsid w:val="001A5654"/>
    <w:rsid w:val="001B548C"/>
    <w:rsid w:val="001E700B"/>
    <w:rsid w:val="001F4887"/>
    <w:rsid w:val="001F6CE6"/>
    <w:rsid w:val="002067B6"/>
    <w:rsid w:val="00225226"/>
    <w:rsid w:val="00233625"/>
    <w:rsid w:val="00263300"/>
    <w:rsid w:val="00266F6D"/>
    <w:rsid w:val="002713C3"/>
    <w:rsid w:val="00274A86"/>
    <w:rsid w:val="00275560"/>
    <w:rsid w:val="00281524"/>
    <w:rsid w:val="00281CD5"/>
    <w:rsid w:val="00287DEA"/>
    <w:rsid w:val="00291F7E"/>
    <w:rsid w:val="002A2A8F"/>
    <w:rsid w:val="002B7FCE"/>
    <w:rsid w:val="002C6B86"/>
    <w:rsid w:val="002F043A"/>
    <w:rsid w:val="003062E8"/>
    <w:rsid w:val="00316914"/>
    <w:rsid w:val="00326C4A"/>
    <w:rsid w:val="003434E6"/>
    <w:rsid w:val="00351C9E"/>
    <w:rsid w:val="00362ADE"/>
    <w:rsid w:val="00367070"/>
    <w:rsid w:val="003702E1"/>
    <w:rsid w:val="003732E3"/>
    <w:rsid w:val="003979B2"/>
    <w:rsid w:val="003A08C1"/>
    <w:rsid w:val="003B62A7"/>
    <w:rsid w:val="003C69EE"/>
    <w:rsid w:val="003E07CA"/>
    <w:rsid w:val="003E5279"/>
    <w:rsid w:val="0043153C"/>
    <w:rsid w:val="00437A16"/>
    <w:rsid w:val="00451F04"/>
    <w:rsid w:val="00460DC7"/>
    <w:rsid w:val="004626D7"/>
    <w:rsid w:val="004631C3"/>
    <w:rsid w:val="0048067D"/>
    <w:rsid w:val="00483FA8"/>
    <w:rsid w:val="00495934"/>
    <w:rsid w:val="004C5071"/>
    <w:rsid w:val="004C64D0"/>
    <w:rsid w:val="004D468C"/>
    <w:rsid w:val="004D5E4D"/>
    <w:rsid w:val="004E27EF"/>
    <w:rsid w:val="004E2FEA"/>
    <w:rsid w:val="004E58BF"/>
    <w:rsid w:val="004E58FA"/>
    <w:rsid w:val="004F0D0C"/>
    <w:rsid w:val="004F63D7"/>
    <w:rsid w:val="00514E11"/>
    <w:rsid w:val="00525FBC"/>
    <w:rsid w:val="005301C5"/>
    <w:rsid w:val="00536A93"/>
    <w:rsid w:val="00546891"/>
    <w:rsid w:val="00552A8B"/>
    <w:rsid w:val="00565221"/>
    <w:rsid w:val="00581E8A"/>
    <w:rsid w:val="00587FA4"/>
    <w:rsid w:val="005A400C"/>
    <w:rsid w:val="005B7DFA"/>
    <w:rsid w:val="005C3EA9"/>
    <w:rsid w:val="005C5657"/>
    <w:rsid w:val="005C6089"/>
    <w:rsid w:val="005D6634"/>
    <w:rsid w:val="005E1E9F"/>
    <w:rsid w:val="005E6012"/>
    <w:rsid w:val="005F0328"/>
    <w:rsid w:val="006005C7"/>
    <w:rsid w:val="0060103B"/>
    <w:rsid w:val="00610B87"/>
    <w:rsid w:val="00627920"/>
    <w:rsid w:val="00632B90"/>
    <w:rsid w:val="00657FE7"/>
    <w:rsid w:val="00670294"/>
    <w:rsid w:val="006755B4"/>
    <w:rsid w:val="00687997"/>
    <w:rsid w:val="00691246"/>
    <w:rsid w:val="006A7F66"/>
    <w:rsid w:val="006B137F"/>
    <w:rsid w:val="006B7C5B"/>
    <w:rsid w:val="006C0E66"/>
    <w:rsid w:val="006C221C"/>
    <w:rsid w:val="006C2C39"/>
    <w:rsid w:val="006D098B"/>
    <w:rsid w:val="006D5A2A"/>
    <w:rsid w:val="006F25CF"/>
    <w:rsid w:val="006F67CB"/>
    <w:rsid w:val="006F6D37"/>
    <w:rsid w:val="00702CF9"/>
    <w:rsid w:val="007202D9"/>
    <w:rsid w:val="00725836"/>
    <w:rsid w:val="007306F9"/>
    <w:rsid w:val="00745F8D"/>
    <w:rsid w:val="00752ADF"/>
    <w:rsid w:val="007570E5"/>
    <w:rsid w:val="007612FF"/>
    <w:rsid w:val="0077368F"/>
    <w:rsid w:val="00780E2D"/>
    <w:rsid w:val="007852C0"/>
    <w:rsid w:val="007B0187"/>
    <w:rsid w:val="007B6F90"/>
    <w:rsid w:val="007C1DB1"/>
    <w:rsid w:val="007C510B"/>
    <w:rsid w:val="007D348E"/>
    <w:rsid w:val="007D6415"/>
    <w:rsid w:val="007D648C"/>
    <w:rsid w:val="007D7B19"/>
    <w:rsid w:val="007E01C6"/>
    <w:rsid w:val="00805A88"/>
    <w:rsid w:val="00806E98"/>
    <w:rsid w:val="00832A88"/>
    <w:rsid w:val="00845AEC"/>
    <w:rsid w:val="00861E13"/>
    <w:rsid w:val="00862355"/>
    <w:rsid w:val="00862A4C"/>
    <w:rsid w:val="00866C1C"/>
    <w:rsid w:val="0086773E"/>
    <w:rsid w:val="008A28A1"/>
    <w:rsid w:val="008B2AA9"/>
    <w:rsid w:val="008C7921"/>
    <w:rsid w:val="008D5C77"/>
    <w:rsid w:val="008E0DD5"/>
    <w:rsid w:val="008E415F"/>
    <w:rsid w:val="008F3D46"/>
    <w:rsid w:val="009013EF"/>
    <w:rsid w:val="0090246E"/>
    <w:rsid w:val="00923924"/>
    <w:rsid w:val="00925812"/>
    <w:rsid w:val="00931343"/>
    <w:rsid w:val="0095238C"/>
    <w:rsid w:val="00953FCC"/>
    <w:rsid w:val="009602E3"/>
    <w:rsid w:val="00964D0C"/>
    <w:rsid w:val="00976435"/>
    <w:rsid w:val="00982421"/>
    <w:rsid w:val="009844C4"/>
    <w:rsid w:val="009952E7"/>
    <w:rsid w:val="009A0031"/>
    <w:rsid w:val="009B1389"/>
    <w:rsid w:val="009C3F54"/>
    <w:rsid w:val="009D77A8"/>
    <w:rsid w:val="009E1460"/>
    <w:rsid w:val="009E7F3F"/>
    <w:rsid w:val="009F2D3C"/>
    <w:rsid w:val="00A0399C"/>
    <w:rsid w:val="00A07873"/>
    <w:rsid w:val="00A148A1"/>
    <w:rsid w:val="00A15C01"/>
    <w:rsid w:val="00A2205E"/>
    <w:rsid w:val="00A349CF"/>
    <w:rsid w:val="00A43327"/>
    <w:rsid w:val="00A54693"/>
    <w:rsid w:val="00A56C20"/>
    <w:rsid w:val="00A63234"/>
    <w:rsid w:val="00A74BE3"/>
    <w:rsid w:val="00A8318B"/>
    <w:rsid w:val="00A96B8B"/>
    <w:rsid w:val="00AA5D2E"/>
    <w:rsid w:val="00AC4B1D"/>
    <w:rsid w:val="00B045D5"/>
    <w:rsid w:val="00B06ECC"/>
    <w:rsid w:val="00B22F27"/>
    <w:rsid w:val="00B25401"/>
    <w:rsid w:val="00B519F1"/>
    <w:rsid w:val="00B63951"/>
    <w:rsid w:val="00B819C2"/>
    <w:rsid w:val="00B9702E"/>
    <w:rsid w:val="00BA5ECD"/>
    <w:rsid w:val="00BA759F"/>
    <w:rsid w:val="00BD6136"/>
    <w:rsid w:val="00BE3476"/>
    <w:rsid w:val="00C00187"/>
    <w:rsid w:val="00C20229"/>
    <w:rsid w:val="00C41226"/>
    <w:rsid w:val="00C4554F"/>
    <w:rsid w:val="00C50F1A"/>
    <w:rsid w:val="00C64096"/>
    <w:rsid w:val="00C7271E"/>
    <w:rsid w:val="00C75DA5"/>
    <w:rsid w:val="00C8643F"/>
    <w:rsid w:val="00CA5E72"/>
    <w:rsid w:val="00CC4B24"/>
    <w:rsid w:val="00CF11C5"/>
    <w:rsid w:val="00D0307C"/>
    <w:rsid w:val="00D07049"/>
    <w:rsid w:val="00D264CE"/>
    <w:rsid w:val="00D31833"/>
    <w:rsid w:val="00D4261F"/>
    <w:rsid w:val="00D52E6C"/>
    <w:rsid w:val="00D53F9B"/>
    <w:rsid w:val="00D66593"/>
    <w:rsid w:val="00D67194"/>
    <w:rsid w:val="00D8065E"/>
    <w:rsid w:val="00D81503"/>
    <w:rsid w:val="00D92C59"/>
    <w:rsid w:val="00D94A46"/>
    <w:rsid w:val="00D94DEB"/>
    <w:rsid w:val="00DA7696"/>
    <w:rsid w:val="00DA77BC"/>
    <w:rsid w:val="00DB082A"/>
    <w:rsid w:val="00DD4AD3"/>
    <w:rsid w:val="00DD54CC"/>
    <w:rsid w:val="00E02064"/>
    <w:rsid w:val="00E04200"/>
    <w:rsid w:val="00E0734F"/>
    <w:rsid w:val="00E146D6"/>
    <w:rsid w:val="00E43C2B"/>
    <w:rsid w:val="00E53314"/>
    <w:rsid w:val="00E53D40"/>
    <w:rsid w:val="00E56687"/>
    <w:rsid w:val="00E56F53"/>
    <w:rsid w:val="00E705C1"/>
    <w:rsid w:val="00E761E3"/>
    <w:rsid w:val="00E90707"/>
    <w:rsid w:val="00E922A7"/>
    <w:rsid w:val="00EA3FD1"/>
    <w:rsid w:val="00EA797B"/>
    <w:rsid w:val="00EB20FC"/>
    <w:rsid w:val="00EB4AF2"/>
    <w:rsid w:val="00EC6349"/>
    <w:rsid w:val="00ED7A3D"/>
    <w:rsid w:val="00F03C22"/>
    <w:rsid w:val="00F40598"/>
    <w:rsid w:val="00F511FD"/>
    <w:rsid w:val="00F5170E"/>
    <w:rsid w:val="00F5530C"/>
    <w:rsid w:val="00F63268"/>
    <w:rsid w:val="00F66AEF"/>
    <w:rsid w:val="00F714C7"/>
    <w:rsid w:val="00F77254"/>
    <w:rsid w:val="00F941E5"/>
    <w:rsid w:val="00FA5E6A"/>
    <w:rsid w:val="00FB3324"/>
    <w:rsid w:val="00FB3B80"/>
    <w:rsid w:val="00FB3F4F"/>
    <w:rsid w:val="00FB4027"/>
    <w:rsid w:val="00FB6887"/>
    <w:rsid w:val="00FC2A90"/>
    <w:rsid w:val="00FD2947"/>
    <w:rsid w:val="00FE38D7"/>
    <w:rsid w:val="00FE7CC8"/>
    <w:rsid w:val="04D2286F"/>
    <w:rsid w:val="05235D34"/>
    <w:rsid w:val="06A20A39"/>
    <w:rsid w:val="06E216B8"/>
    <w:rsid w:val="0718544D"/>
    <w:rsid w:val="08D12F00"/>
    <w:rsid w:val="0B3049D6"/>
    <w:rsid w:val="0B692FE1"/>
    <w:rsid w:val="0C480258"/>
    <w:rsid w:val="0C7E7B71"/>
    <w:rsid w:val="0CD00F0A"/>
    <w:rsid w:val="0EBD0E70"/>
    <w:rsid w:val="0F712BB6"/>
    <w:rsid w:val="102354BF"/>
    <w:rsid w:val="121A010C"/>
    <w:rsid w:val="16F83C72"/>
    <w:rsid w:val="1CC25C22"/>
    <w:rsid w:val="1E501745"/>
    <w:rsid w:val="27A929FE"/>
    <w:rsid w:val="2C21126A"/>
    <w:rsid w:val="2C752F1C"/>
    <w:rsid w:val="33D83D93"/>
    <w:rsid w:val="38147E3B"/>
    <w:rsid w:val="389D0C80"/>
    <w:rsid w:val="3B857ED9"/>
    <w:rsid w:val="3B9B0C14"/>
    <w:rsid w:val="3D9B21BA"/>
    <w:rsid w:val="3EE83FF7"/>
    <w:rsid w:val="3F40671A"/>
    <w:rsid w:val="3FEE08F8"/>
    <w:rsid w:val="43673D14"/>
    <w:rsid w:val="43E04937"/>
    <w:rsid w:val="44173ECB"/>
    <w:rsid w:val="44421984"/>
    <w:rsid w:val="44A44BC4"/>
    <w:rsid w:val="44AD2E0D"/>
    <w:rsid w:val="46C035F8"/>
    <w:rsid w:val="4D7D7DB9"/>
    <w:rsid w:val="51BE544C"/>
    <w:rsid w:val="526E1E56"/>
    <w:rsid w:val="5338480E"/>
    <w:rsid w:val="562166FF"/>
    <w:rsid w:val="56E90240"/>
    <w:rsid w:val="57A23368"/>
    <w:rsid w:val="57EF7F46"/>
    <w:rsid w:val="58815E06"/>
    <w:rsid w:val="59BF078B"/>
    <w:rsid w:val="5EC47139"/>
    <w:rsid w:val="659F2553"/>
    <w:rsid w:val="66EF4E57"/>
    <w:rsid w:val="67A4342A"/>
    <w:rsid w:val="68BE0B2D"/>
    <w:rsid w:val="6A215794"/>
    <w:rsid w:val="6AAB5A90"/>
    <w:rsid w:val="6C160F2C"/>
    <w:rsid w:val="6E995A95"/>
    <w:rsid w:val="71C940D5"/>
    <w:rsid w:val="7229607F"/>
    <w:rsid w:val="73D25D6E"/>
    <w:rsid w:val="740B40E6"/>
    <w:rsid w:val="75187F78"/>
    <w:rsid w:val="754E378A"/>
    <w:rsid w:val="7564735B"/>
    <w:rsid w:val="75D7090C"/>
    <w:rsid w:val="77260526"/>
    <w:rsid w:val="77B72634"/>
    <w:rsid w:val="77F40DE4"/>
    <w:rsid w:val="7AF721A5"/>
    <w:rsid w:val="7BBC67DB"/>
    <w:rsid w:val="7DD37E5E"/>
    <w:rsid w:val="7E637C8C"/>
    <w:rsid w:val="7FB31700"/>
    <w:rsid w:val="7FD03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semiHidden="0" w:qFormat="1"/>
    <w:lsdException w:name="annotation reference"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1"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semiHidden="0" w:unhideWhenUsed="0" w:qFormat="1"/>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annotation text"/>
    <w:basedOn w:val="a"/>
    <w:link w:val="Char"/>
    <w:semiHidden/>
    <w:unhideWhenUsed/>
    <w:pPr>
      <w:jc w:val="left"/>
    </w:pPr>
  </w:style>
  <w:style w:type="paragraph" w:styleId="a5">
    <w:name w:val="Body Text"/>
    <w:basedOn w:val="a"/>
    <w:link w:val="Char0"/>
    <w:uiPriority w:val="1"/>
    <w:qFormat/>
    <w:pPr>
      <w:ind w:left="118"/>
      <w:jc w:val="left"/>
    </w:pPr>
    <w:rPr>
      <w:rFonts w:ascii="楷体" w:eastAsia="楷体" w:hAnsi="楷体"/>
      <w:kern w:val="0"/>
      <w:sz w:val="21"/>
      <w:szCs w:val="21"/>
      <w:lang w:eastAsia="en-US"/>
    </w:rPr>
  </w:style>
  <w:style w:type="paragraph" w:styleId="a6">
    <w:name w:val="Balloon Text"/>
    <w:basedOn w:val="a"/>
    <w:link w:val="Char1"/>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Autospacing="1" w:afterAutospacing="1"/>
      <w:jc w:val="left"/>
    </w:pPr>
    <w:rPr>
      <w:rFonts w:cs="Times New Roman"/>
      <w:kern w:val="0"/>
      <w:sz w:val="24"/>
    </w:rPr>
  </w:style>
  <w:style w:type="paragraph" w:styleId="aa">
    <w:name w:val="annotation subject"/>
    <w:basedOn w:val="a4"/>
    <w:next w:val="a4"/>
    <w:link w:val="Char2"/>
    <w:semiHidden/>
    <w:unhideWhenUsed/>
    <w:qFormat/>
    <w:rPr>
      <w:b/>
      <w:bCs/>
    </w:rPr>
  </w:style>
  <w:style w:type="table" w:styleId="ab">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qFormat/>
    <w:rPr>
      <w:b/>
    </w:rPr>
  </w:style>
  <w:style w:type="character" w:styleId="ad">
    <w:name w:val="page number"/>
    <w:basedOn w:val="a0"/>
    <w:qFormat/>
  </w:style>
  <w:style w:type="character" w:styleId="ae">
    <w:name w:val="FollowedHyperlink"/>
    <w:basedOn w:val="a0"/>
    <w:qFormat/>
    <w:rPr>
      <w:color w:val="800080"/>
      <w:u w:val="none"/>
    </w:rPr>
  </w:style>
  <w:style w:type="character" w:styleId="af">
    <w:name w:val="Emphasis"/>
    <w:basedOn w:val="a0"/>
    <w:uiPriority w:val="20"/>
    <w:qFormat/>
    <w:rPr>
      <w:i/>
      <w:iCs/>
    </w:rPr>
  </w:style>
  <w:style w:type="character" w:styleId="af0">
    <w:name w:val="Hyperlink"/>
    <w:basedOn w:val="a0"/>
    <w:qFormat/>
    <w:rPr>
      <w:color w:val="0000FF"/>
      <w:u w:val="none"/>
    </w:rPr>
  </w:style>
  <w:style w:type="character" w:styleId="af1">
    <w:name w:val="annotation reference"/>
    <w:basedOn w:val="a0"/>
    <w:semiHidden/>
    <w:unhideWhenUsed/>
    <w:qFormat/>
    <w:rPr>
      <w:sz w:val="21"/>
      <w:szCs w:val="21"/>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 w:type="paragraph" w:styleId="af2">
    <w:name w:val="List Paragraph"/>
    <w:basedOn w:val="a"/>
    <w:uiPriority w:val="99"/>
    <w:unhideWhenUsed/>
    <w:qFormat/>
    <w:pPr>
      <w:ind w:firstLineChars="200" w:firstLine="420"/>
    </w:p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1">
    <w:name w:val="批注框文本 Char"/>
    <w:basedOn w:val="a0"/>
    <w:link w:val="a6"/>
    <w:qFormat/>
    <w:rPr>
      <w:rFonts w:asciiTheme="minorHAnsi" w:eastAsia="方正仿宋简体" w:hAnsiTheme="minorHAnsi" w:cstheme="minorBidi"/>
      <w:kern w:val="2"/>
      <w:sz w:val="18"/>
      <w:szCs w:val="18"/>
    </w:rPr>
  </w:style>
  <w:style w:type="character" w:customStyle="1" w:styleId="Char">
    <w:name w:val="批注文字 Char"/>
    <w:basedOn w:val="a0"/>
    <w:link w:val="a4"/>
    <w:semiHidden/>
    <w:qFormat/>
    <w:rPr>
      <w:rFonts w:asciiTheme="minorHAnsi" w:eastAsia="方正仿宋简体" w:hAnsiTheme="minorHAnsi" w:cstheme="minorBidi"/>
      <w:kern w:val="2"/>
      <w:sz w:val="32"/>
      <w:szCs w:val="24"/>
    </w:rPr>
  </w:style>
  <w:style w:type="character" w:customStyle="1" w:styleId="Char2">
    <w:name w:val="批注主题 Char"/>
    <w:basedOn w:val="Char"/>
    <w:link w:val="aa"/>
    <w:semiHidden/>
    <w:qFormat/>
    <w:rPr>
      <w:rFonts w:asciiTheme="minorHAnsi" w:eastAsia="方正仿宋简体" w:hAnsiTheme="minorHAnsi" w:cstheme="minorBidi"/>
      <w:b/>
      <w:bCs/>
      <w:kern w:val="2"/>
      <w:sz w:val="32"/>
      <w:szCs w:val="24"/>
    </w:rPr>
  </w:style>
  <w:style w:type="character" w:customStyle="1" w:styleId="Char0">
    <w:name w:val="正文文本 Char"/>
    <w:basedOn w:val="a0"/>
    <w:link w:val="a5"/>
    <w:uiPriority w:val="1"/>
    <w:rPr>
      <w:rFonts w:ascii="楷体" w:eastAsia="楷体" w:hAnsi="楷体" w:cstheme="minorBidi"/>
      <w:sz w:val="21"/>
      <w:szCs w:val="21"/>
      <w:lang w:eastAsia="en-US"/>
    </w:rPr>
  </w:style>
  <w:style w:type="paragraph" w:customStyle="1" w:styleId="TableParagraph">
    <w:name w:val="Table Paragraph"/>
    <w:basedOn w:val="a"/>
    <w:uiPriority w:val="1"/>
    <w:qFormat/>
    <w:pPr>
      <w:jc w:val="left"/>
    </w:pPr>
    <w:rPr>
      <w:rFonts w:eastAsiaTheme="minorEastAsia"/>
      <w:kern w:val="0"/>
      <w:sz w:val="22"/>
      <w:szCs w:val="22"/>
      <w:lang w:eastAsia="en-US"/>
    </w:rPr>
  </w:style>
  <w:style w:type="paragraph" w:customStyle="1" w:styleId="10">
    <w:name w:val="修订1"/>
    <w:hidden/>
    <w:uiPriority w:val="99"/>
    <w:semiHidden/>
    <w:qFormat/>
    <w:rPr>
      <w:rFonts w:asciiTheme="minorHAnsi" w:eastAsia="方正仿宋简体" w:hAnsiTheme="minorHAnsi" w:cstheme="minorBidi"/>
      <w:kern w:val="2"/>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semiHidden="0" w:qFormat="1"/>
    <w:lsdException w:name="annotation reference"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1"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semiHidden="0" w:unhideWhenUsed="0" w:qFormat="1"/>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annotation text"/>
    <w:basedOn w:val="a"/>
    <w:link w:val="Char"/>
    <w:semiHidden/>
    <w:unhideWhenUsed/>
    <w:pPr>
      <w:jc w:val="left"/>
    </w:pPr>
  </w:style>
  <w:style w:type="paragraph" w:styleId="a5">
    <w:name w:val="Body Text"/>
    <w:basedOn w:val="a"/>
    <w:link w:val="Char0"/>
    <w:uiPriority w:val="1"/>
    <w:qFormat/>
    <w:pPr>
      <w:ind w:left="118"/>
      <w:jc w:val="left"/>
    </w:pPr>
    <w:rPr>
      <w:rFonts w:ascii="楷体" w:eastAsia="楷体" w:hAnsi="楷体"/>
      <w:kern w:val="0"/>
      <w:sz w:val="21"/>
      <w:szCs w:val="21"/>
      <w:lang w:eastAsia="en-US"/>
    </w:rPr>
  </w:style>
  <w:style w:type="paragraph" w:styleId="a6">
    <w:name w:val="Balloon Text"/>
    <w:basedOn w:val="a"/>
    <w:link w:val="Char1"/>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Autospacing="1" w:afterAutospacing="1"/>
      <w:jc w:val="left"/>
    </w:pPr>
    <w:rPr>
      <w:rFonts w:cs="Times New Roman"/>
      <w:kern w:val="0"/>
      <w:sz w:val="24"/>
    </w:rPr>
  </w:style>
  <w:style w:type="paragraph" w:styleId="aa">
    <w:name w:val="annotation subject"/>
    <w:basedOn w:val="a4"/>
    <w:next w:val="a4"/>
    <w:link w:val="Char2"/>
    <w:semiHidden/>
    <w:unhideWhenUsed/>
    <w:qFormat/>
    <w:rPr>
      <w:b/>
      <w:bCs/>
    </w:rPr>
  </w:style>
  <w:style w:type="table" w:styleId="ab">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qFormat/>
    <w:rPr>
      <w:b/>
    </w:rPr>
  </w:style>
  <w:style w:type="character" w:styleId="ad">
    <w:name w:val="page number"/>
    <w:basedOn w:val="a0"/>
    <w:qFormat/>
  </w:style>
  <w:style w:type="character" w:styleId="ae">
    <w:name w:val="FollowedHyperlink"/>
    <w:basedOn w:val="a0"/>
    <w:qFormat/>
    <w:rPr>
      <w:color w:val="800080"/>
      <w:u w:val="none"/>
    </w:rPr>
  </w:style>
  <w:style w:type="character" w:styleId="af">
    <w:name w:val="Emphasis"/>
    <w:basedOn w:val="a0"/>
    <w:uiPriority w:val="20"/>
    <w:qFormat/>
    <w:rPr>
      <w:i/>
      <w:iCs/>
    </w:rPr>
  </w:style>
  <w:style w:type="character" w:styleId="af0">
    <w:name w:val="Hyperlink"/>
    <w:basedOn w:val="a0"/>
    <w:qFormat/>
    <w:rPr>
      <w:color w:val="0000FF"/>
      <w:u w:val="none"/>
    </w:rPr>
  </w:style>
  <w:style w:type="character" w:styleId="af1">
    <w:name w:val="annotation reference"/>
    <w:basedOn w:val="a0"/>
    <w:semiHidden/>
    <w:unhideWhenUsed/>
    <w:qFormat/>
    <w:rPr>
      <w:sz w:val="21"/>
      <w:szCs w:val="21"/>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 w:type="paragraph" w:styleId="af2">
    <w:name w:val="List Paragraph"/>
    <w:basedOn w:val="a"/>
    <w:uiPriority w:val="99"/>
    <w:unhideWhenUsed/>
    <w:qFormat/>
    <w:pPr>
      <w:ind w:firstLineChars="200" w:firstLine="420"/>
    </w:p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1">
    <w:name w:val="批注框文本 Char"/>
    <w:basedOn w:val="a0"/>
    <w:link w:val="a6"/>
    <w:qFormat/>
    <w:rPr>
      <w:rFonts w:asciiTheme="minorHAnsi" w:eastAsia="方正仿宋简体" w:hAnsiTheme="minorHAnsi" w:cstheme="minorBidi"/>
      <w:kern w:val="2"/>
      <w:sz w:val="18"/>
      <w:szCs w:val="18"/>
    </w:rPr>
  </w:style>
  <w:style w:type="character" w:customStyle="1" w:styleId="Char">
    <w:name w:val="批注文字 Char"/>
    <w:basedOn w:val="a0"/>
    <w:link w:val="a4"/>
    <w:semiHidden/>
    <w:qFormat/>
    <w:rPr>
      <w:rFonts w:asciiTheme="minorHAnsi" w:eastAsia="方正仿宋简体" w:hAnsiTheme="minorHAnsi" w:cstheme="minorBidi"/>
      <w:kern w:val="2"/>
      <w:sz w:val="32"/>
      <w:szCs w:val="24"/>
    </w:rPr>
  </w:style>
  <w:style w:type="character" w:customStyle="1" w:styleId="Char2">
    <w:name w:val="批注主题 Char"/>
    <w:basedOn w:val="Char"/>
    <w:link w:val="aa"/>
    <w:semiHidden/>
    <w:qFormat/>
    <w:rPr>
      <w:rFonts w:asciiTheme="minorHAnsi" w:eastAsia="方正仿宋简体" w:hAnsiTheme="minorHAnsi" w:cstheme="minorBidi"/>
      <w:b/>
      <w:bCs/>
      <w:kern w:val="2"/>
      <w:sz w:val="32"/>
      <w:szCs w:val="24"/>
    </w:rPr>
  </w:style>
  <w:style w:type="character" w:customStyle="1" w:styleId="Char0">
    <w:name w:val="正文文本 Char"/>
    <w:basedOn w:val="a0"/>
    <w:link w:val="a5"/>
    <w:uiPriority w:val="1"/>
    <w:rPr>
      <w:rFonts w:ascii="楷体" w:eastAsia="楷体" w:hAnsi="楷体" w:cstheme="minorBidi"/>
      <w:sz w:val="21"/>
      <w:szCs w:val="21"/>
      <w:lang w:eastAsia="en-US"/>
    </w:rPr>
  </w:style>
  <w:style w:type="paragraph" w:customStyle="1" w:styleId="TableParagraph">
    <w:name w:val="Table Paragraph"/>
    <w:basedOn w:val="a"/>
    <w:uiPriority w:val="1"/>
    <w:qFormat/>
    <w:pPr>
      <w:jc w:val="left"/>
    </w:pPr>
    <w:rPr>
      <w:rFonts w:eastAsiaTheme="minorEastAsia"/>
      <w:kern w:val="0"/>
      <w:sz w:val="22"/>
      <w:szCs w:val="22"/>
      <w:lang w:eastAsia="en-US"/>
    </w:rPr>
  </w:style>
  <w:style w:type="paragraph" w:customStyle="1" w:styleId="10">
    <w:name w:val="修订1"/>
    <w:hidden/>
    <w:uiPriority w:val="99"/>
    <w:semiHidden/>
    <w:qFormat/>
    <w:rPr>
      <w:rFonts w:asciiTheme="minorHAnsi" w:eastAsia="方正仿宋简体" w:hAnsiTheme="minorHAnsi" w:cstheme="minorBidi"/>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6B7291-3C0B-47BD-A38D-A342CC2B0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2364</Words>
  <Characters>13481</Characters>
  <Application>Microsoft Office Word</Application>
  <DocSecurity>0</DocSecurity>
  <Lines>112</Lines>
  <Paragraphs>31</Paragraphs>
  <ScaleCrop>false</ScaleCrop>
  <Company>微软中国</Company>
  <LinksUpToDate>false</LinksUpToDate>
  <CharactersWithSpaces>15814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XWB</dc:creator>
  <cp:lastModifiedBy>周丽华</cp:lastModifiedBy>
  <cp:revision>2</cp:revision>
  <cp:lastPrinted>2023-03-07T07:50:00Z</cp:lastPrinted>
  <dcterms:created xsi:type="dcterms:W3CDTF">2025-03-12T08:35:00Z</dcterms:created>
  <dcterms:modified xsi:type="dcterms:W3CDTF">2025-03-12T08:35:00Z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89B9CBEC5C604532B47EB1E6634F4361</vt:lpwstr>
  </property>
  <property fmtid="{D5CDD505-2E9C-101B-9397-08002B2CF9AE}" pid="4" name="KSOTemplateDocerSaveRecord">
    <vt:lpwstr>eyJoZGlkIjoiNzVlNTU5ZTgwNjFmMGE0ODUyOWQ5YWYwZmVjNDQ0ZWQifQ==</vt:lpwstr>
  </property>
</Properties>
</file>