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83C" w:rsidRDefault="00771C28">
      <w:pPr>
        <w:spacing w:afterLines="50" w:after="156" w:line="560" w:lineRule="exact"/>
        <w:rPr>
          <w:rFonts w:ascii="宋体" w:eastAsia="宋体" w:hAnsi="宋体" w:cs="Times New Roman"/>
          <w:b/>
          <w:kern w:val="0"/>
          <w:sz w:val="28"/>
          <w:szCs w:val="28"/>
        </w:rPr>
      </w:pPr>
      <w:r>
        <w:rPr>
          <w:rFonts w:ascii="宋体" w:hAnsi="宋体" w:hint="eastAsia"/>
          <w:b/>
          <w:sz w:val="28"/>
          <w:szCs w:val="28"/>
        </w:rPr>
        <w:t>附件</w:t>
      </w:r>
      <w:r>
        <w:rPr>
          <w:rFonts w:ascii="宋体" w:hAnsi="宋体" w:hint="eastAsia"/>
          <w:b/>
          <w:sz w:val="28"/>
          <w:szCs w:val="28"/>
        </w:rPr>
        <w:t>1</w:t>
      </w:r>
    </w:p>
    <w:p w:rsidR="00CA083C" w:rsidRDefault="00CA083C">
      <w:pPr>
        <w:spacing w:afterLines="50" w:after="156" w:line="560" w:lineRule="exact"/>
        <w:jc w:val="center"/>
        <w:rPr>
          <w:rFonts w:ascii="方正小标宋简体" w:eastAsia="方正小标宋简体" w:hAnsi="宋体"/>
          <w:b/>
          <w:sz w:val="44"/>
          <w:szCs w:val="44"/>
        </w:rPr>
      </w:pPr>
    </w:p>
    <w:p w:rsidR="00CA083C" w:rsidRDefault="00CA083C">
      <w:pPr>
        <w:spacing w:afterLines="50" w:after="156" w:line="560" w:lineRule="exact"/>
        <w:jc w:val="center"/>
        <w:rPr>
          <w:rFonts w:ascii="方正小标宋简体" w:eastAsia="方正小标宋简体" w:hAnsi="宋体"/>
          <w:b/>
          <w:sz w:val="44"/>
          <w:szCs w:val="44"/>
        </w:rPr>
      </w:pPr>
    </w:p>
    <w:p w:rsidR="00CA083C" w:rsidRDefault="00CA083C">
      <w:pPr>
        <w:spacing w:afterLines="50" w:after="156" w:line="560" w:lineRule="exact"/>
        <w:jc w:val="center"/>
        <w:rPr>
          <w:rFonts w:ascii="方正小标宋简体" w:eastAsia="方正小标宋简体" w:hAnsi="宋体"/>
          <w:b/>
          <w:sz w:val="52"/>
          <w:szCs w:val="52"/>
        </w:rPr>
      </w:pPr>
    </w:p>
    <w:p w:rsidR="00F534E5" w:rsidRDefault="00F534E5" w:rsidP="00F534E5">
      <w:pPr>
        <w:spacing w:after="156" w:line="300" w:lineRule="auto"/>
        <w:jc w:val="center"/>
        <w:textAlignment w:val="baseline"/>
        <w:rPr>
          <w:rStyle w:val="NormalCharacter"/>
          <w:rFonts w:ascii="方正小标宋简体" w:eastAsia="方正小标宋简体" w:hAnsi="宋体" w:cs="Times New Roman"/>
          <w:bCs/>
          <w:sz w:val="44"/>
          <w:szCs w:val="44"/>
        </w:rPr>
      </w:pPr>
      <w:r>
        <w:rPr>
          <w:rStyle w:val="NormalCharacter"/>
          <w:rFonts w:ascii="方正小标宋简体" w:eastAsia="方正小标宋简体" w:hAnsi="宋体" w:cs="Times New Roman" w:hint="eastAsia"/>
          <w:bCs/>
          <w:sz w:val="44"/>
          <w:szCs w:val="44"/>
        </w:rPr>
        <w:t>学位授权点质量建设年度报告</w:t>
      </w:r>
    </w:p>
    <w:p w:rsidR="00CA083C" w:rsidRPr="00F534E5" w:rsidRDefault="00CA083C">
      <w:pPr>
        <w:spacing w:after="156" w:line="560" w:lineRule="exact"/>
        <w:jc w:val="center"/>
        <w:textAlignment w:val="baseline"/>
        <w:rPr>
          <w:rFonts w:ascii="方正小标宋简体" w:eastAsia="方正小标宋简体" w:hAnsi="宋体" w:cs="Times New Roman"/>
          <w:bCs/>
          <w:sz w:val="44"/>
          <w:szCs w:val="44"/>
        </w:rPr>
      </w:pPr>
    </w:p>
    <w:p w:rsidR="00CA083C" w:rsidRDefault="00771C28">
      <w:pPr>
        <w:spacing w:after="156" w:line="560" w:lineRule="exact"/>
        <w:jc w:val="center"/>
        <w:textAlignment w:val="baseline"/>
        <w:rPr>
          <w:rFonts w:ascii="方正小标宋简体" w:eastAsia="方正小标宋简体" w:hAnsi="宋体" w:cs="Times New Roman"/>
          <w:bCs/>
          <w:sz w:val="44"/>
          <w:szCs w:val="44"/>
        </w:rPr>
      </w:pPr>
      <w:r>
        <w:rPr>
          <w:rFonts w:ascii="方正小标宋简体" w:eastAsia="方正小标宋简体" w:hAnsi="宋体" w:cs="Times New Roman" w:hint="eastAsia"/>
          <w:bCs/>
          <w:sz w:val="44"/>
          <w:szCs w:val="44"/>
        </w:rPr>
        <w:t>（2021年）</w:t>
      </w:r>
    </w:p>
    <w:p w:rsidR="00CA083C" w:rsidRDefault="00CA083C">
      <w:pPr>
        <w:snapToGrid w:val="0"/>
        <w:jc w:val="center"/>
        <w:textAlignment w:val="baseline"/>
        <w:rPr>
          <w:rFonts w:ascii="Times New Roman" w:eastAsia="宋体" w:hAnsi="Times New Roman" w:cs="Times New Roman"/>
          <w:b/>
          <w:sz w:val="48"/>
          <w:szCs w:val="20"/>
        </w:rPr>
      </w:pPr>
    </w:p>
    <w:p w:rsidR="00CA083C" w:rsidRDefault="00CA083C">
      <w:pPr>
        <w:snapToGrid w:val="0"/>
        <w:jc w:val="center"/>
        <w:textAlignment w:val="baseline"/>
        <w:rPr>
          <w:rFonts w:ascii="Times New Roman" w:eastAsia="宋体" w:hAnsi="Times New Roman" w:cs="Times New Roman"/>
          <w:b/>
          <w:sz w:val="48"/>
          <w:szCs w:val="20"/>
        </w:rPr>
      </w:pPr>
    </w:p>
    <w:p w:rsidR="00CA083C" w:rsidRDefault="00CA083C">
      <w:pPr>
        <w:snapToGrid w:val="0"/>
        <w:spacing w:line="300" w:lineRule="auto"/>
        <w:jc w:val="center"/>
        <w:textAlignment w:val="baseline"/>
        <w:rPr>
          <w:rFonts w:ascii="Times New Roman" w:eastAsia="宋体" w:hAnsi="Times New Roman" w:cs="Times New Roman"/>
          <w:b/>
          <w:szCs w:val="32"/>
        </w:rPr>
      </w:pPr>
    </w:p>
    <w:tbl>
      <w:tblPr>
        <w:tblW w:w="5490"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9"/>
        <w:gridCol w:w="3981"/>
      </w:tblGrid>
      <w:tr w:rsidR="00CA083C">
        <w:trPr>
          <w:trHeight w:val="794"/>
          <w:jc w:val="center"/>
        </w:trPr>
        <w:tc>
          <w:tcPr>
            <w:tcW w:w="1507" w:type="dxa"/>
            <w:vMerge w:val="restart"/>
            <w:tcBorders>
              <w:top w:val="nil"/>
              <w:left w:val="nil"/>
              <w:bottom w:val="nil"/>
              <w:right w:val="single" w:sz="4" w:space="0" w:color="000000"/>
            </w:tcBorders>
            <w:vAlign w:val="center"/>
          </w:tcPr>
          <w:p w:rsidR="00CA083C" w:rsidRDefault="00771C28">
            <w:pPr>
              <w:snapToGrid w:val="0"/>
              <w:spacing w:line="240" w:lineRule="atLeast"/>
              <w:jc w:val="center"/>
              <w:textAlignment w:val="baseline"/>
              <w:rPr>
                <w:rFonts w:ascii="Times New Roman" w:eastAsia="宋体" w:hAnsi="Times New Roman" w:cs="Times New Roman"/>
                <w:b/>
                <w:spacing w:val="-10"/>
                <w:szCs w:val="32"/>
              </w:rPr>
            </w:pPr>
            <w:r>
              <w:rPr>
                <w:rFonts w:ascii="Times New Roman" w:eastAsia="宋体" w:hAnsi="Times New Roman" w:cs="Times New Roman" w:hint="eastAsia"/>
                <w:b/>
                <w:spacing w:val="-10"/>
                <w:szCs w:val="32"/>
              </w:rPr>
              <w:t>高校</w:t>
            </w:r>
          </w:p>
          <w:p w:rsidR="00CA083C" w:rsidRDefault="00771C28">
            <w:pPr>
              <w:snapToGrid w:val="0"/>
              <w:spacing w:line="240" w:lineRule="atLeast"/>
              <w:jc w:val="center"/>
              <w:textAlignment w:val="baseline"/>
              <w:rPr>
                <w:rFonts w:ascii="Times New Roman" w:eastAsia="宋体" w:hAnsi="Times New Roman" w:cs="Times New Roman"/>
                <w:b/>
                <w:spacing w:val="-10"/>
                <w:szCs w:val="32"/>
              </w:rPr>
            </w:pPr>
            <w:r>
              <w:rPr>
                <w:rFonts w:ascii="Times New Roman" w:eastAsia="宋体" w:hAnsi="Times New Roman" w:cs="Times New Roman" w:hint="eastAsia"/>
                <w:b/>
                <w:spacing w:val="-10"/>
                <w:szCs w:val="32"/>
              </w:rPr>
              <w:t>（公章）</w:t>
            </w:r>
          </w:p>
        </w:tc>
        <w:tc>
          <w:tcPr>
            <w:tcW w:w="3977" w:type="dxa"/>
            <w:tcBorders>
              <w:top w:val="nil"/>
              <w:left w:val="single" w:sz="4" w:space="0" w:color="000000"/>
              <w:bottom w:val="single" w:sz="4" w:space="0" w:color="000000"/>
              <w:right w:val="nil"/>
            </w:tcBorders>
            <w:vAlign w:val="center"/>
          </w:tcPr>
          <w:p w:rsidR="00CA083C" w:rsidRDefault="00771C28">
            <w:pPr>
              <w:snapToGrid w:val="0"/>
              <w:spacing w:line="300" w:lineRule="auto"/>
              <w:textAlignment w:val="baseline"/>
              <w:rPr>
                <w:rFonts w:ascii="Times New Roman" w:eastAsia="宋体" w:hAnsi="Times New Roman" w:cs="Times New Roman"/>
                <w:b/>
                <w:spacing w:val="-10"/>
                <w:szCs w:val="32"/>
              </w:rPr>
            </w:pPr>
            <w:r>
              <w:rPr>
                <w:rFonts w:ascii="Times New Roman" w:eastAsia="宋体" w:hAnsi="Times New Roman" w:cs="Times New Roman" w:hint="eastAsia"/>
                <w:b/>
                <w:spacing w:val="-10"/>
                <w:szCs w:val="32"/>
              </w:rPr>
              <w:t>名称：应用经济学</w:t>
            </w:r>
          </w:p>
        </w:tc>
      </w:tr>
      <w:tr w:rsidR="00CA083C">
        <w:trPr>
          <w:trHeight w:val="794"/>
          <w:jc w:val="center"/>
        </w:trPr>
        <w:tc>
          <w:tcPr>
            <w:tcW w:w="1507" w:type="dxa"/>
            <w:vMerge/>
            <w:tcBorders>
              <w:top w:val="nil"/>
              <w:left w:val="nil"/>
              <w:bottom w:val="nil"/>
              <w:right w:val="single" w:sz="4" w:space="0" w:color="000000"/>
            </w:tcBorders>
            <w:vAlign w:val="center"/>
          </w:tcPr>
          <w:p w:rsidR="00CA083C" w:rsidRDefault="00CA083C">
            <w:pPr>
              <w:widowControl/>
              <w:jc w:val="left"/>
              <w:rPr>
                <w:rFonts w:ascii="Times New Roman" w:eastAsia="宋体" w:hAnsi="Times New Roman" w:cs="Times New Roman"/>
                <w:b/>
                <w:spacing w:val="-10"/>
                <w:szCs w:val="32"/>
              </w:rPr>
            </w:pPr>
          </w:p>
        </w:tc>
        <w:tc>
          <w:tcPr>
            <w:tcW w:w="3977" w:type="dxa"/>
            <w:tcBorders>
              <w:top w:val="single" w:sz="4" w:space="0" w:color="000000"/>
              <w:left w:val="single" w:sz="4" w:space="0" w:color="000000"/>
              <w:bottom w:val="nil"/>
              <w:right w:val="nil"/>
            </w:tcBorders>
            <w:vAlign w:val="center"/>
          </w:tcPr>
          <w:p w:rsidR="00CA083C" w:rsidRDefault="00771C28">
            <w:pPr>
              <w:snapToGrid w:val="0"/>
              <w:spacing w:line="300" w:lineRule="auto"/>
              <w:textAlignment w:val="baseline"/>
              <w:rPr>
                <w:rFonts w:ascii="Times New Roman" w:eastAsia="宋体" w:hAnsi="Times New Roman" w:cs="Times New Roman"/>
                <w:b/>
                <w:spacing w:val="-10"/>
                <w:szCs w:val="32"/>
              </w:rPr>
            </w:pPr>
            <w:r>
              <w:rPr>
                <w:rFonts w:ascii="Times New Roman" w:eastAsia="宋体" w:hAnsi="Times New Roman" w:cs="Times New Roman" w:hint="eastAsia"/>
                <w:b/>
                <w:spacing w:val="-10"/>
                <w:szCs w:val="32"/>
              </w:rPr>
              <w:t>代码：</w:t>
            </w:r>
            <w:r>
              <w:rPr>
                <w:rFonts w:ascii="Times New Roman" w:eastAsia="宋体" w:hAnsi="Times New Roman" w:cs="Times New Roman"/>
                <w:b/>
                <w:spacing w:val="-10"/>
                <w:szCs w:val="32"/>
              </w:rPr>
              <w:t>0202</w:t>
            </w:r>
          </w:p>
        </w:tc>
      </w:tr>
    </w:tbl>
    <w:p w:rsidR="00CA083C" w:rsidRDefault="00CA083C">
      <w:pPr>
        <w:jc w:val="center"/>
        <w:rPr>
          <w:rFonts w:eastAsia="楷体_GB2312"/>
          <w:b/>
          <w:sz w:val="30"/>
          <w:szCs w:val="30"/>
        </w:rPr>
      </w:pPr>
    </w:p>
    <w:p w:rsidR="00CA083C" w:rsidRDefault="00CA083C">
      <w:pPr>
        <w:jc w:val="center"/>
        <w:rPr>
          <w:rFonts w:eastAsia="楷体_GB2312"/>
          <w:b/>
          <w:sz w:val="30"/>
          <w:szCs w:val="30"/>
        </w:rPr>
      </w:pPr>
    </w:p>
    <w:p w:rsidR="00CA083C" w:rsidRDefault="00771C28">
      <w:pPr>
        <w:jc w:val="center"/>
        <w:rPr>
          <w:rFonts w:ascii="方正小标宋简体" w:eastAsia="方正小标宋简体" w:hAnsi="宋体"/>
          <w:b/>
          <w:color w:val="000000"/>
          <w:sz w:val="44"/>
          <w:szCs w:val="44"/>
        </w:rPr>
      </w:pPr>
      <w:r>
        <w:rPr>
          <w:rFonts w:eastAsia="楷体_GB2312"/>
          <w:b/>
          <w:sz w:val="30"/>
          <w:szCs w:val="30"/>
        </w:rPr>
        <w:t>20</w:t>
      </w:r>
      <w:r>
        <w:rPr>
          <w:rFonts w:eastAsia="楷体_GB2312" w:hint="eastAsia"/>
          <w:b/>
          <w:sz w:val="30"/>
          <w:szCs w:val="30"/>
        </w:rPr>
        <w:t>21</w:t>
      </w:r>
      <w:r>
        <w:rPr>
          <w:rFonts w:eastAsia="楷体_GB2312" w:hint="eastAsia"/>
          <w:b/>
          <w:sz w:val="30"/>
          <w:szCs w:val="30"/>
        </w:rPr>
        <w:t>年</w:t>
      </w:r>
      <w:r>
        <w:rPr>
          <w:rFonts w:eastAsia="楷体_GB2312" w:hint="eastAsia"/>
          <w:b/>
          <w:sz w:val="30"/>
          <w:szCs w:val="30"/>
        </w:rPr>
        <w:t>12</w:t>
      </w:r>
      <w:r>
        <w:rPr>
          <w:rFonts w:eastAsia="楷体_GB2312" w:hint="eastAsia"/>
          <w:b/>
          <w:sz w:val="30"/>
          <w:szCs w:val="30"/>
        </w:rPr>
        <w:t>月</w:t>
      </w:r>
      <w:r>
        <w:rPr>
          <w:rFonts w:eastAsia="楷体_GB2312" w:hint="eastAsia"/>
          <w:b/>
          <w:sz w:val="30"/>
          <w:szCs w:val="30"/>
        </w:rPr>
        <w:t>14</w:t>
      </w:r>
      <w:r>
        <w:rPr>
          <w:rFonts w:eastAsia="楷体_GB2312" w:hint="eastAsia"/>
          <w:b/>
          <w:sz w:val="30"/>
          <w:szCs w:val="30"/>
        </w:rPr>
        <w:t>日</w:t>
      </w:r>
    </w:p>
    <w:p w:rsidR="00CA083C" w:rsidRDefault="00771C28">
      <w:pPr>
        <w:pStyle w:val="3"/>
      </w:pPr>
      <w:r>
        <w:rPr>
          <w:rFonts w:hint="eastAsia"/>
        </w:rPr>
        <w:br w:type="page"/>
      </w:r>
    </w:p>
    <w:p w:rsidR="00CA083C" w:rsidRDefault="00771C28">
      <w:pPr>
        <w:pStyle w:val="3"/>
        <w:spacing w:line="560" w:lineRule="exact"/>
        <w:ind w:firstLineChars="0" w:firstLine="0"/>
      </w:pPr>
      <w:r>
        <w:rPr>
          <w:rFonts w:hint="eastAsia"/>
          <w:b/>
          <w:bCs/>
        </w:rPr>
        <w:lastRenderedPageBreak/>
        <w:t>一、学位授权点基本情况</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暨南大学创立于1906年，是国务院侨务办公室、教育部、广东省三方共建的华侨最高学府，国家“211工程”大学。1918年应南洋华侨需要开设商科。1980 年经教育部批准成立经济学院，是全国高校最早成立的经济学院之一和全国第一批经济学硕士授权单位。1986年获</w:t>
      </w:r>
      <w:proofErr w:type="gramStart"/>
      <w:r>
        <w:rPr>
          <w:rFonts w:ascii="仿宋" w:eastAsia="仿宋" w:hAnsi="仿宋" w:hint="eastAsia"/>
          <w:sz w:val="24"/>
          <w:szCs w:val="24"/>
        </w:rPr>
        <w:t>批产业</w:t>
      </w:r>
      <w:proofErr w:type="gramEnd"/>
      <w:r>
        <w:rPr>
          <w:rFonts w:ascii="仿宋" w:eastAsia="仿宋" w:hAnsi="仿宋" w:hint="eastAsia"/>
          <w:sz w:val="24"/>
          <w:szCs w:val="24"/>
        </w:rPr>
        <w:t>经济学博士点、1998年获</w:t>
      </w:r>
      <w:proofErr w:type="gramStart"/>
      <w:r>
        <w:rPr>
          <w:rFonts w:ascii="仿宋" w:eastAsia="仿宋" w:hAnsi="仿宋" w:hint="eastAsia"/>
          <w:sz w:val="24"/>
          <w:szCs w:val="24"/>
        </w:rPr>
        <w:t>批金融</w:t>
      </w:r>
      <w:proofErr w:type="gramEnd"/>
      <w:r>
        <w:rPr>
          <w:rFonts w:ascii="仿宋" w:eastAsia="仿宋" w:hAnsi="仿宋" w:hint="eastAsia"/>
          <w:sz w:val="24"/>
          <w:szCs w:val="24"/>
        </w:rPr>
        <w:t>学博士点、1999年经批准设立应用经济学博士后流动站、2003年获</w:t>
      </w:r>
      <w:proofErr w:type="gramStart"/>
      <w:r>
        <w:rPr>
          <w:rFonts w:ascii="仿宋" w:eastAsia="仿宋" w:hAnsi="仿宋" w:hint="eastAsia"/>
          <w:sz w:val="24"/>
          <w:szCs w:val="24"/>
        </w:rPr>
        <w:t>批应用</w:t>
      </w:r>
      <w:proofErr w:type="gramEnd"/>
      <w:r>
        <w:rPr>
          <w:rFonts w:ascii="仿宋" w:eastAsia="仿宋" w:hAnsi="仿宋" w:hint="eastAsia"/>
          <w:sz w:val="24"/>
          <w:szCs w:val="24"/>
        </w:rPr>
        <w:t>经济学一级学科博士点，均为华南地区高校之首获。产业经济学、金融学为国家重点学科，是全国应用经济学科为数不多的拥有两个以上国家二级重点学科的单位。2013 年被评为广东省一级攀峰重点学科。</w:t>
      </w:r>
    </w:p>
    <w:p w:rsidR="00CA083C" w:rsidRDefault="00771C28">
      <w:pPr>
        <w:pStyle w:val="3"/>
        <w:spacing w:line="560" w:lineRule="exact"/>
        <w:ind w:firstLine="480"/>
        <w:rPr>
          <w:rFonts w:ascii="仿宋" w:eastAsia="仿宋" w:hAnsi="仿宋"/>
          <w:sz w:val="24"/>
        </w:rPr>
      </w:pPr>
      <w:r>
        <w:rPr>
          <w:rFonts w:ascii="仿宋" w:eastAsia="仿宋" w:hAnsi="仿宋" w:hint="eastAsia"/>
          <w:sz w:val="24"/>
          <w:szCs w:val="24"/>
        </w:rPr>
        <w:t>近年来，暨南大学应用经济学科为国内进步最快的高校之一，在全国经济学界具有重要地位和影响。</w:t>
      </w:r>
      <w:r>
        <w:rPr>
          <w:rFonts w:ascii="仿宋" w:eastAsia="仿宋" w:hAnsi="仿宋" w:hint="eastAsia"/>
          <w:sz w:val="24"/>
        </w:rPr>
        <w:t>在学科排名方面，根据“2</w:t>
      </w:r>
      <w:r>
        <w:rPr>
          <w:rFonts w:ascii="仿宋" w:eastAsia="仿宋" w:hAnsi="仿宋"/>
          <w:sz w:val="24"/>
        </w:rPr>
        <w:t>021</w:t>
      </w:r>
      <w:r>
        <w:rPr>
          <w:rFonts w:ascii="仿宋" w:eastAsia="仿宋" w:hAnsi="仿宋" w:hint="eastAsia"/>
          <w:sz w:val="24"/>
        </w:rPr>
        <w:t>年软科中国最好学科排名”，暨南大学应用经济学进入全国前5%，位列全国第9名，连续5年连年攀升；根据“2021软科世界一流学科排名”，暨南大学经济学科中国内地并列排名并列第8位，广东省排名第一；根据2020年度荷兰蒂尔堡大学“全球经济学研究机构排名”，暨南大学经济学科在35本默认国际权威经济学期刊发表数量并列全国第9位，广东省排名第一；根据2021年全球高校经济学研究力评估单年最新排名，暨南大学经济学科名列全国前10名。</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学科覆盖产业经济学、金融学、劳动经济学、区域经济、绿色经济与可持续发展等方向。其中，产业经济学、金融学为国家重点学科。高质量学术交流频繁，先后成功举办第十五届金融学年会、第十七届中国青年经济学者论坛、世界计量经济学会中国年会等高水平学术会议；5年累计举办学术报告600余场，全球排名前50的高校均有学者到访本学科；国际合作平台高端，</w:t>
      </w:r>
      <w:proofErr w:type="gramStart"/>
      <w:r>
        <w:rPr>
          <w:rFonts w:ascii="仿宋" w:eastAsia="仿宋" w:hAnsi="仿宋" w:hint="eastAsia"/>
          <w:sz w:val="24"/>
          <w:szCs w:val="24"/>
        </w:rPr>
        <w:t>与诺奖得主</w:t>
      </w:r>
      <w:proofErr w:type="gramEnd"/>
      <w:r>
        <w:rPr>
          <w:rFonts w:ascii="仿宋" w:eastAsia="仿宋" w:hAnsi="仿宋" w:hint="eastAsia"/>
          <w:sz w:val="24"/>
          <w:szCs w:val="24"/>
        </w:rPr>
        <w:t>赫克曼教授合作建立“人口流动与劳动经济学科创新引智基地”；与芝加哥大学共建“芝加哥-暨南人类发展研究联合计划”，展开全方位合作；将社会调查作为学术研究的重要抓手，设立社会调查中心，开展大型社会调查项目，覆盖中国城乡人口流动调查、中国家庭就业调查、广东千村调查等，为政策制定及学术研究提供高质量的微观数据库。</w:t>
      </w:r>
    </w:p>
    <w:p w:rsidR="00CA083C" w:rsidRDefault="00771C28">
      <w:pPr>
        <w:spacing w:line="560" w:lineRule="exact"/>
        <w:rPr>
          <w:rFonts w:ascii="黑体" w:eastAsia="黑体" w:hAnsi="黑体"/>
        </w:rPr>
      </w:pPr>
      <w:r>
        <w:rPr>
          <w:rFonts w:ascii="黑体" w:eastAsia="黑体" w:hAnsi="黑体" w:hint="eastAsia"/>
        </w:rPr>
        <w:t xml:space="preserve">（一）培养目标与学位标准 </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本学位点致力于培养符合新时代中国特色社会主义建设要求，具有过硬政治思想素质和专业视野，具有高度社会责任感和较强创新能力，具备国际研究视野的高水平经济学人才，包括具有扎实的经济学专业理论知识、掌握完整的经济学理论体系、掌握现代经济学分析工具、能够追踪学术前沿并独立开展学术研究的学术型人才；具有较强社会责任感、较高专业素质、政治素养、科学文化素质的高素质企业人才。研究生毕业后能胜任高等院校、科研院所、党政机关、企事业单位等工作岗位。</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 xml:space="preserve">1.博士学位：具备坚实宽广的经济学科理论基础和专业知识、宽广的国际视野，系统掌握相关领域专业文献；跟踪学术前沿，深入了解国内外相关领域最新动态，能够创造性地提出新观点、理论、方法或创新性地利用最新研究成果解决重要的实际问题；具备较强的国际交流能力，能够独立从事应用经济学的教学工作；具备在相关领域独立从事学术研究的能力。 </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2.硕士学位：具备全面、扎实的经济学理论基础与专业知识，规范的学术训练，掌握本专业领域的基础研究成果，具备学术研究的基本能力；能够针对现实经济问题进行调查研究、设计方案、构建模型实证检验，并具有继续学习、创新、提高的基础和能力；较为熟练地掌握一门外语，能熟练地阅读本专业的文献资料，具有基本的国际交流能力；思维严谨，具有发现问题、提出问题和解决问题的基本能力，能从事中高层次实务工作。</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学位点推进了学术评价“破五唯”改革，进一步细化和完善了经济学研究生申请学位基本学术要求，具体细则要求自2020级研究生开始实行，体现了“学术性”多元化评价的基本思想，为学术型研究生做高水平科研提供正向激励和导向。</w:t>
      </w:r>
    </w:p>
    <w:p w:rsidR="00CA083C" w:rsidRDefault="00771C28">
      <w:pPr>
        <w:spacing w:line="560" w:lineRule="exact"/>
        <w:rPr>
          <w:rFonts w:ascii="黑体" w:eastAsia="黑体" w:hAnsi="黑体"/>
        </w:rPr>
      </w:pPr>
      <w:r>
        <w:rPr>
          <w:rFonts w:ascii="黑体" w:eastAsia="黑体" w:hAnsi="黑体" w:hint="eastAsia"/>
        </w:rPr>
        <w:t>（二）基本条件</w:t>
      </w:r>
    </w:p>
    <w:p w:rsidR="00CA083C" w:rsidRDefault="00771C28">
      <w:pPr>
        <w:pStyle w:val="3"/>
        <w:spacing w:line="560" w:lineRule="exact"/>
        <w:ind w:firstLine="480"/>
        <w:rPr>
          <w:sz w:val="24"/>
          <w:szCs w:val="24"/>
        </w:rPr>
      </w:pPr>
      <w:r>
        <w:rPr>
          <w:rFonts w:hint="eastAsia"/>
          <w:sz w:val="24"/>
          <w:szCs w:val="24"/>
        </w:rPr>
        <w:t>1.师资队伍</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近年来，应用经济学科坚持从海内外名校招揽优秀青年学者，致力于建设一支具备国际视野且立足本国现实国情、极具科研创造力的优秀人才队伍。经济学科持续深化人才制度改革，推动学科内涵式发展，新聘教师全面实施常任</w:t>
      </w:r>
      <w:proofErr w:type="gramStart"/>
      <w:r>
        <w:rPr>
          <w:rFonts w:ascii="仿宋" w:eastAsia="仿宋" w:hAnsi="仿宋" w:hint="eastAsia"/>
          <w:sz w:val="24"/>
          <w:szCs w:val="24"/>
        </w:rPr>
        <w:t>轨</w:t>
      </w:r>
      <w:proofErr w:type="gramEnd"/>
      <w:r>
        <w:rPr>
          <w:rFonts w:ascii="仿宋" w:eastAsia="仿宋" w:hAnsi="仿宋" w:hint="eastAsia"/>
          <w:sz w:val="24"/>
          <w:szCs w:val="24"/>
        </w:rPr>
        <w:t>制度，旨在给予教师宽松的工作环境，充分激发其研究潜力。同时，建立对</w:t>
      </w:r>
      <w:proofErr w:type="gramStart"/>
      <w:r>
        <w:rPr>
          <w:rFonts w:ascii="仿宋" w:eastAsia="仿宋" w:hAnsi="仿宋" w:hint="eastAsia"/>
          <w:sz w:val="24"/>
          <w:szCs w:val="24"/>
        </w:rPr>
        <w:t>标国际</w:t>
      </w:r>
      <w:proofErr w:type="gramEnd"/>
      <w:r>
        <w:rPr>
          <w:rFonts w:ascii="仿宋" w:eastAsia="仿宋" w:hAnsi="仿宋" w:hint="eastAsia"/>
          <w:sz w:val="24"/>
          <w:szCs w:val="24"/>
        </w:rPr>
        <w:t>的评聘机制与考评标准，使得教师在学术论文、科学项目研究等各方面都必须遵循高要求高标准，向国际标杆看齐。设立“暨南大学经济学科人才基金”，已获捐赠6</w:t>
      </w:r>
      <w:r>
        <w:rPr>
          <w:rFonts w:ascii="仿宋" w:eastAsia="仿宋" w:hAnsi="仿宋"/>
          <w:sz w:val="24"/>
          <w:szCs w:val="24"/>
        </w:rPr>
        <w:t>00</w:t>
      </w:r>
      <w:r>
        <w:rPr>
          <w:rFonts w:ascii="仿宋" w:eastAsia="仿宋" w:hAnsi="仿宋" w:hint="eastAsia"/>
          <w:sz w:val="24"/>
          <w:szCs w:val="24"/>
        </w:rPr>
        <w:t>万，旨在引进优秀人才，助力经济学科从高原攀登高峰，冲击“国际一流经济学科”方阵。</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学位</w:t>
      </w:r>
      <w:proofErr w:type="gramStart"/>
      <w:r>
        <w:rPr>
          <w:rFonts w:ascii="仿宋" w:eastAsia="仿宋" w:hAnsi="仿宋" w:hint="eastAsia"/>
          <w:sz w:val="24"/>
          <w:szCs w:val="24"/>
        </w:rPr>
        <w:t>点拥有</w:t>
      </w:r>
      <w:proofErr w:type="gramEnd"/>
      <w:r>
        <w:rPr>
          <w:rFonts w:ascii="仿宋" w:eastAsia="仿宋" w:hAnsi="仿宋" w:hint="eastAsia"/>
          <w:sz w:val="24"/>
          <w:szCs w:val="24"/>
        </w:rPr>
        <w:t>专职教师128人，其中国家重大人才工程领军人才、国家特支计划 等省部级以上人才40余人次；博士生导师45人，硕士生导师57人；有境外学历或进修经历教师占比71.9%。</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各培养方向带头人与学术骨干如下：</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（1）金融学</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刘少波：中国金融学年会理事会理事；广东经济学会副会长，广东第三产业研究会副会长，广东学位委员会委员，广东政府发展研究中心特约研究员。广东省教学名师，全国金融专业学位</w:t>
      </w:r>
      <w:proofErr w:type="gramStart"/>
      <w:r>
        <w:rPr>
          <w:rFonts w:ascii="仿宋" w:eastAsia="仿宋" w:hAnsi="仿宋" w:hint="eastAsia"/>
          <w:sz w:val="24"/>
          <w:szCs w:val="24"/>
        </w:rPr>
        <w:t>研究生教指委</w:t>
      </w:r>
      <w:proofErr w:type="gramEnd"/>
      <w:r>
        <w:rPr>
          <w:rFonts w:ascii="仿宋" w:eastAsia="仿宋" w:hAnsi="仿宋" w:hint="eastAsia"/>
          <w:sz w:val="24"/>
          <w:szCs w:val="24"/>
        </w:rPr>
        <w:t>委员，主持国家社科重点项目等国家级项目多项，获教育部人文社科优秀成果三等奖等省部级成果奖7项。</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蒋海：暨南大学经济学院副院长，教授，博士生导师。教育部金融学类教学指导委员会委员；中国金融学年会理事；中国国际金融学会理事；广东省金融学专业本科高校教学指导委员会副主任委员，广东金融学会专家委员会副主任委员；广州市财政咨询专家；国家自然科学基金、《经济研究》、Journal of Corporate Finance等基金和权威杂志评审专家。主要研究金融监管、公司治理和金融机构管理，近年来在《经济研究》、《管理世界》、China Economic Review等权威期刊发表论文40余篇，主持国家自然科学基金等国家和省部级研究课题18项，获得广东省哲学社会科学优秀成果一等奖、广东省教学成果二等奖等十多项省部级奖励。</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（2）产业经济学</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胡军：暨南大学原校长，中国工业经济学会副会长，中国企业管理研究会副理事长，2002年获国务院特殊贡献专家津贴。调研报告“广东工业产业竞争力研究”获2005年广东省人文社会科学成果奖一等奖，教育部第四届中国高校人文社会科学研究优秀成果二等奖。著作《中国区域协调发展机制体系研究》获2017年广东省哲学社会科学优秀成果一等奖。</w:t>
      </w:r>
    </w:p>
    <w:p w:rsidR="00CA083C" w:rsidRDefault="00771C28">
      <w:pPr>
        <w:pStyle w:val="3"/>
        <w:spacing w:line="560" w:lineRule="exact"/>
        <w:ind w:firstLine="480"/>
        <w:rPr>
          <w:rFonts w:ascii="仿宋" w:eastAsia="仿宋" w:hAnsi="仿宋"/>
          <w:sz w:val="24"/>
          <w:szCs w:val="24"/>
        </w:rPr>
      </w:pPr>
      <w:proofErr w:type="gramStart"/>
      <w:r>
        <w:rPr>
          <w:rFonts w:ascii="仿宋" w:eastAsia="仿宋" w:hAnsi="仿宋" w:hint="eastAsia"/>
          <w:sz w:val="24"/>
          <w:szCs w:val="24"/>
        </w:rPr>
        <w:t>顾乃华</w:t>
      </w:r>
      <w:proofErr w:type="gramEnd"/>
      <w:r>
        <w:rPr>
          <w:rFonts w:ascii="仿宋" w:eastAsia="仿宋" w:hAnsi="仿宋" w:hint="eastAsia"/>
          <w:sz w:val="24"/>
          <w:szCs w:val="24"/>
        </w:rPr>
        <w:t>：中国工业经济学会副理事长，中国工业经济学</w:t>
      </w:r>
      <w:proofErr w:type="gramStart"/>
      <w:r>
        <w:rPr>
          <w:rFonts w:ascii="仿宋" w:eastAsia="仿宋" w:hAnsi="仿宋" w:hint="eastAsia"/>
          <w:sz w:val="24"/>
          <w:szCs w:val="24"/>
        </w:rPr>
        <w:t>会竞争</w:t>
      </w:r>
      <w:proofErr w:type="gramEnd"/>
      <w:r>
        <w:rPr>
          <w:rFonts w:ascii="仿宋" w:eastAsia="仿宋" w:hAnsi="仿宋" w:hint="eastAsia"/>
          <w:sz w:val="24"/>
          <w:szCs w:val="24"/>
        </w:rPr>
        <w:t>政策专业委员会委员。国家社科重大项目首席专家，省级人才计划入选者，广东省文科重点实验室主任，主持各类项目60多项。</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陶锋：中国工业经济学会副理事长，广东省体制改革研究会副秘书长，国家社科重大、重点项目首席专家，在《经济研究》等期刊发表论文多篇，获广东省哲学社会科学优秀成果一等奖。</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（3）劳动经济学</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冯帅章：</w:t>
      </w:r>
      <w:r>
        <w:rPr>
          <w:rFonts w:ascii="仿宋" w:eastAsia="仿宋" w:hAnsi="仿宋" w:hint="eastAsia"/>
          <w:i/>
          <w:iCs/>
          <w:sz w:val="24"/>
          <w:szCs w:val="24"/>
        </w:rPr>
        <w:t>Journal of Population Economics</w:t>
      </w:r>
      <w:r>
        <w:rPr>
          <w:rFonts w:ascii="仿宋" w:eastAsia="仿宋" w:hAnsi="仿宋" w:hint="eastAsia"/>
          <w:sz w:val="24"/>
          <w:szCs w:val="24"/>
        </w:rPr>
        <w:t xml:space="preserve">共同主编，世界计量经济学会亚洲委员会成员。国家级重大人才工程领军人才、教育部重大人才工程领军人才、国家杰出青年科学基金获得者。共发表超过20篇匿名评审国际学术期刊论文，包括经济学领域顶级刊物《美国经济评论》，科学界权威刊物《美国科学院院刊》，以及国内经济学领域权威杂志《经济研究》《经济学季刊》等。 </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王春超： 广东经济学会副会长；中国劳动学会劳动科学教育</w:t>
      </w:r>
      <w:proofErr w:type="gramStart"/>
      <w:r>
        <w:rPr>
          <w:rFonts w:ascii="仿宋" w:eastAsia="仿宋" w:hAnsi="仿宋" w:hint="eastAsia"/>
          <w:sz w:val="24"/>
          <w:szCs w:val="24"/>
        </w:rPr>
        <w:t>分会常务</w:t>
      </w:r>
      <w:proofErr w:type="gramEnd"/>
      <w:r>
        <w:rPr>
          <w:rFonts w:ascii="仿宋" w:eastAsia="仿宋" w:hAnsi="仿宋" w:hint="eastAsia"/>
          <w:sz w:val="24"/>
          <w:szCs w:val="24"/>
        </w:rPr>
        <w:t>理事。国家级人才计划入选者，国家社科重大项目首席专家，获教育部人文社科优秀成果奖二等奖、全国青年教师教学竞赛二等奖等。</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（4）区域经济学</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覃成林：全国经济地理研究会顾问，中国区域经济学会常务理事及学科建设委员会副主任。主持国家社科基金重大项目2项，获教育部人文社科优秀成果奖三等奖，在《中国社会科学》《成果要报》等发表论文多篇。</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武文杰：入选国家级人才，国际中国规划协会全球联席理事长（外联委员会主席、欧洲区主席），世界银行项目咨询专家。曾任英国高校终身副教授，主持国家社科基金重大项目、国家自然科学基金3项，在国际一流期刊发表论文30余篇。</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（5）绿色经济与可持续发展</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王兵：暨南大学副校长，中国教育发展战略学会人才发展专业委员会常务理事；广东省本科高校经济学类专业教学指导委员会副主任委员。教育部重大攻关项目首席专家，荣获全国青年教师教学竞赛一等奖，在《经济研究》等权威期刊发表论文60余篇。</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何凌云：中国优选法统筹法与经济数学研究会理事，Computational</w:t>
      </w:r>
      <w:r>
        <w:rPr>
          <w:rFonts w:ascii="仿宋" w:eastAsia="仿宋" w:hAnsi="仿宋" w:hint="eastAsia"/>
          <w:i/>
          <w:iCs/>
          <w:sz w:val="24"/>
          <w:szCs w:val="24"/>
        </w:rPr>
        <w:t xml:space="preserve"> Economics</w:t>
      </w:r>
      <w:r>
        <w:rPr>
          <w:rFonts w:ascii="仿宋" w:eastAsia="仿宋" w:hAnsi="仿宋" w:hint="eastAsia"/>
          <w:sz w:val="24"/>
          <w:szCs w:val="24"/>
        </w:rPr>
        <w:t xml:space="preserve"> (SSCI,SCI) 副主编，主持国家社科重大、重点项目各1项，国家自然科学基金4 项，发表高水平论文100余篇。</w:t>
      </w:r>
    </w:p>
    <w:p w:rsidR="00CA083C" w:rsidRDefault="00771C28">
      <w:pPr>
        <w:spacing w:line="560" w:lineRule="exact"/>
        <w:ind w:firstLineChars="200" w:firstLine="480"/>
        <w:rPr>
          <w:rFonts w:ascii="黑体" w:eastAsia="黑体" w:hAnsi="黑体"/>
          <w:sz w:val="24"/>
        </w:rPr>
      </w:pPr>
      <w:r>
        <w:rPr>
          <w:rFonts w:ascii="黑体" w:eastAsia="黑体" w:hAnsi="黑体" w:hint="eastAsia"/>
          <w:sz w:val="24"/>
        </w:rPr>
        <w:t xml:space="preserve">2.科学研究 </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本学科科研实力雄厚，近年来围绕国家和地方经济社会发展的重大战略需求及前沿热点问题，获批了一批高层次科研项目，产出了一批有影响力的学术成果。</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近5年来，本</w:t>
      </w:r>
      <w:proofErr w:type="gramStart"/>
      <w:r>
        <w:rPr>
          <w:rFonts w:ascii="仿宋" w:eastAsia="仿宋" w:hAnsi="仿宋" w:hint="eastAsia"/>
          <w:sz w:val="24"/>
          <w:szCs w:val="24"/>
        </w:rPr>
        <w:t>学科获批各</w:t>
      </w:r>
      <w:proofErr w:type="gramEnd"/>
      <w:r>
        <w:rPr>
          <w:rFonts w:ascii="仿宋" w:eastAsia="仿宋" w:hAnsi="仿宋" w:hint="eastAsia"/>
          <w:sz w:val="24"/>
          <w:szCs w:val="24"/>
        </w:rPr>
        <w:t>类项目300余项，经费总额6000余万；其中，获批国家级项目104项，包括国家重点研发计划项目、国家自然科学</w:t>
      </w:r>
      <w:proofErr w:type="gramStart"/>
      <w:r>
        <w:rPr>
          <w:rFonts w:ascii="仿宋" w:eastAsia="仿宋" w:hAnsi="仿宋" w:hint="eastAsia"/>
          <w:sz w:val="24"/>
          <w:szCs w:val="24"/>
        </w:rPr>
        <w:t>基金优青项目</w:t>
      </w:r>
      <w:proofErr w:type="gramEnd"/>
      <w:r>
        <w:rPr>
          <w:rFonts w:ascii="仿宋" w:eastAsia="仿宋" w:hAnsi="仿宋" w:hint="eastAsia"/>
          <w:sz w:val="24"/>
          <w:szCs w:val="24"/>
        </w:rPr>
        <w:t>、国家社科基金重大项目、教育部重大攻关项目、国家自然科学基金外国青年学者项目等标志性项目19项。自2017年以来，本学科师生在暨南大学A类期刊发表论文500余篇，其中在《经济研究》(28篇)、《管理世界》《American Economic Review》《Science》《Economic Journal》《Journal of Econometrics》《PNAS》等国内外重要期刊发表论文150余篇。根据2020年度荷兰蒂尔堡大学“全球经济学研究机构排名”，暨南大学经济学科在35本默认国际权威经济学期刊发表数量并列全国第9位，广东省排名第一；出版专著50余部；多项研究成果获政治局常委和省领导正面肯定的批示，2项成果获得教育部人文社科优秀成果奖，17项成果获得广东省哲学社科优秀成果奖。</w:t>
      </w:r>
    </w:p>
    <w:p w:rsidR="00CA083C" w:rsidRDefault="00771C28">
      <w:pPr>
        <w:pStyle w:val="3"/>
        <w:spacing w:line="560" w:lineRule="exact"/>
        <w:ind w:firstLine="480"/>
        <w:rPr>
          <w:sz w:val="24"/>
          <w:szCs w:val="24"/>
        </w:rPr>
      </w:pPr>
      <w:r>
        <w:rPr>
          <w:rFonts w:hint="eastAsia"/>
          <w:sz w:val="24"/>
          <w:szCs w:val="24"/>
        </w:rPr>
        <w:t xml:space="preserve">3.学术平台及基地支撑 </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本</w:t>
      </w:r>
      <w:proofErr w:type="gramStart"/>
      <w:r>
        <w:rPr>
          <w:rFonts w:ascii="仿宋" w:eastAsia="仿宋" w:hAnsi="仿宋" w:hint="eastAsia"/>
          <w:sz w:val="24"/>
          <w:szCs w:val="24"/>
        </w:rPr>
        <w:t>学位点获批</w:t>
      </w:r>
      <w:proofErr w:type="gramEnd"/>
      <w:r>
        <w:rPr>
          <w:rFonts w:ascii="仿宋" w:eastAsia="仿宋" w:hAnsi="仿宋" w:hint="eastAsia"/>
          <w:sz w:val="24"/>
          <w:szCs w:val="24"/>
        </w:rPr>
        <w:t>教育部、国家外国专家局“人口流动与劳动经济学科创新引智基地”1个；</w:t>
      </w:r>
      <w:r>
        <w:rPr>
          <w:rFonts w:ascii="仿宋" w:eastAsia="仿宋" w:hAnsi="仿宋"/>
          <w:bCs/>
          <w:sz w:val="24"/>
          <w:szCs w:val="24"/>
        </w:rPr>
        <w:t>广东省人文社科重点研究基地</w:t>
      </w:r>
      <w:r>
        <w:rPr>
          <w:rFonts w:ascii="仿宋" w:eastAsia="仿宋" w:hAnsi="仿宋" w:hint="eastAsia"/>
          <w:bCs/>
          <w:sz w:val="24"/>
          <w:szCs w:val="24"/>
        </w:rPr>
        <w:t>3个 ，其中</w:t>
      </w:r>
      <w:r>
        <w:rPr>
          <w:rFonts w:ascii="仿宋" w:eastAsia="仿宋" w:hAnsi="仿宋"/>
          <w:bCs/>
          <w:sz w:val="24"/>
          <w:szCs w:val="24"/>
        </w:rPr>
        <w:t>金融研究所、广东产业发展与粤港澳台区域合作研究中心被评为</w:t>
      </w:r>
      <w:r>
        <w:rPr>
          <w:rFonts w:ascii="仿宋" w:eastAsia="仿宋" w:hAnsi="仿宋" w:hint="eastAsia"/>
          <w:bCs/>
          <w:sz w:val="24"/>
          <w:szCs w:val="24"/>
        </w:rPr>
        <w:t>省级</w:t>
      </w:r>
      <w:r>
        <w:rPr>
          <w:rFonts w:ascii="仿宋" w:eastAsia="仿宋" w:hAnsi="仿宋"/>
          <w:bCs/>
          <w:sz w:val="24"/>
          <w:szCs w:val="24"/>
        </w:rPr>
        <w:t>优秀基</w:t>
      </w:r>
      <w:r>
        <w:rPr>
          <w:rFonts w:ascii="仿宋" w:eastAsia="仿宋" w:hAnsi="仿宋" w:hint="eastAsia"/>
          <w:bCs/>
          <w:sz w:val="24"/>
          <w:szCs w:val="24"/>
        </w:rPr>
        <w:t>地和</w:t>
      </w:r>
      <w:r>
        <w:rPr>
          <w:rFonts w:ascii="仿宋" w:eastAsia="仿宋" w:hAnsi="仿宋"/>
          <w:bCs/>
          <w:sz w:val="24"/>
          <w:szCs w:val="24"/>
        </w:rPr>
        <w:t>省级重点提升平台，资源环境与可持续发展研究所被评为国家级重点培育平台。</w:t>
      </w:r>
    </w:p>
    <w:p w:rsidR="00CA083C" w:rsidRDefault="00771C28">
      <w:pPr>
        <w:pStyle w:val="3"/>
        <w:spacing w:line="560" w:lineRule="exact"/>
        <w:ind w:firstLine="480"/>
        <w:rPr>
          <w:rFonts w:ascii="仿宋" w:eastAsia="仿宋" w:hAnsi="仿宋"/>
          <w:bCs/>
          <w:sz w:val="24"/>
        </w:rPr>
      </w:pPr>
      <w:r>
        <w:rPr>
          <w:rFonts w:ascii="仿宋" w:eastAsia="仿宋" w:hAnsi="仿宋" w:hint="eastAsia"/>
          <w:sz w:val="24"/>
          <w:szCs w:val="24"/>
        </w:rPr>
        <w:t xml:space="preserve">获批共建“广州南沙自由贸易试验区研究基地”等若干研究基地；拥有1 </w:t>
      </w:r>
      <w:proofErr w:type="gramStart"/>
      <w:r>
        <w:rPr>
          <w:rFonts w:ascii="仿宋" w:eastAsia="仿宋" w:hAnsi="仿宋" w:hint="eastAsia"/>
          <w:sz w:val="24"/>
          <w:szCs w:val="24"/>
        </w:rPr>
        <w:t>个</w:t>
      </w:r>
      <w:proofErr w:type="gramEnd"/>
      <w:r>
        <w:rPr>
          <w:rFonts w:ascii="仿宋" w:eastAsia="仿宋" w:hAnsi="仿宋" w:hint="eastAsia"/>
          <w:sz w:val="24"/>
          <w:szCs w:val="24"/>
        </w:rPr>
        <w:t>国家级实验教学示范中心，广东省重点实验室2个；广东产业转型升级协同创新中心是首批认定的广东省国家级协同创新平台，开发建设“广东产业发展数据库”。</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学科与美国芝加哥大学人类发展经济学研究中心共同创建“芝加哥-暨南大学人类发展研究联合计划”，</w:t>
      </w:r>
      <w:proofErr w:type="gramStart"/>
      <w:r>
        <w:rPr>
          <w:rFonts w:ascii="仿宋" w:eastAsia="仿宋" w:hAnsi="仿宋" w:hint="eastAsia"/>
          <w:sz w:val="24"/>
          <w:szCs w:val="24"/>
        </w:rPr>
        <w:t>由诺奖得主</w:t>
      </w:r>
      <w:proofErr w:type="gramEnd"/>
      <w:r>
        <w:rPr>
          <w:rFonts w:ascii="仿宋" w:eastAsia="仿宋" w:hAnsi="仿宋" w:hint="eastAsia"/>
          <w:sz w:val="24"/>
          <w:szCs w:val="24"/>
        </w:rPr>
        <w:t>赫克曼教授及学科带头人冯帅章教授担任共同负责人，在人才培养与学生国际交流开展深度合作；着力打造两个稳定的国际学术交流平台，即“亚洲区域创新与合作论坛”（中日韩泰）和“改革、转型与增长国际论坛”；与英国斯克莱德大学商学院、美国内布拉斯加大学等4所院校签订院级合作备忘录与交流互访协议。学科积极贯彻学校“国际化办学”战略，注重开拓学生的国际视野，鼓励并资助优秀研究生参加各类国际学术交流，有120多人次的学生赴境外参加国际学术会议或学术交流。</w:t>
      </w:r>
    </w:p>
    <w:p w:rsidR="00CA083C" w:rsidRDefault="00771C28">
      <w:pPr>
        <w:spacing w:line="560" w:lineRule="exact"/>
        <w:rPr>
          <w:rFonts w:ascii="黑体" w:eastAsia="黑体" w:hAnsi="黑体"/>
        </w:rPr>
      </w:pPr>
      <w:r>
        <w:rPr>
          <w:rFonts w:ascii="黑体" w:eastAsia="黑体" w:hAnsi="黑体" w:hint="eastAsia"/>
        </w:rPr>
        <w:t>（三）人才培养</w:t>
      </w:r>
    </w:p>
    <w:p w:rsidR="00CA083C" w:rsidRDefault="00771C28">
      <w:pPr>
        <w:pStyle w:val="3"/>
        <w:spacing w:line="560" w:lineRule="exact"/>
        <w:ind w:firstLine="480"/>
        <w:rPr>
          <w:sz w:val="24"/>
          <w:szCs w:val="24"/>
        </w:rPr>
      </w:pPr>
      <w:r>
        <w:rPr>
          <w:rFonts w:hint="eastAsia"/>
          <w:sz w:val="24"/>
          <w:szCs w:val="24"/>
        </w:rPr>
        <w:t xml:space="preserve">1.招生选拔 </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应用经济学学科优势明显、师资力量雄厚、办学质量优良、社会影响广泛，学科排名在国内位居前列，大部分专业一直都是暨大最热门的报考专业之一。</w:t>
      </w:r>
    </w:p>
    <w:p w:rsidR="00CA083C" w:rsidRDefault="00771C28">
      <w:pPr>
        <w:pStyle w:val="3"/>
        <w:spacing w:line="560" w:lineRule="exact"/>
        <w:ind w:firstLine="480"/>
      </w:pPr>
      <w:r>
        <w:rPr>
          <w:rFonts w:ascii="仿宋" w:eastAsia="仿宋" w:hAnsi="仿宋" w:hint="eastAsia"/>
          <w:sz w:val="24"/>
          <w:szCs w:val="24"/>
        </w:rPr>
        <w:t>学位点博士招考以申请审核和硕博连读为主要方式，采取多元化的审核评价标准，全方位考察考生的综合素质和科研水平，没有公开发表论文，提供相关专业的高质量工作论文亦可。</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近5年，报名学位点硕士</w:t>
      </w:r>
      <w:proofErr w:type="gramStart"/>
      <w:r>
        <w:rPr>
          <w:rFonts w:ascii="仿宋" w:eastAsia="仿宋" w:hAnsi="仿宋" w:hint="eastAsia"/>
          <w:sz w:val="24"/>
          <w:szCs w:val="24"/>
        </w:rPr>
        <w:t>研究生推免的</w:t>
      </w:r>
      <w:proofErr w:type="gramEnd"/>
      <w:r>
        <w:rPr>
          <w:rFonts w:ascii="仿宋" w:eastAsia="仿宋" w:hAnsi="仿宋" w:hint="eastAsia"/>
          <w:sz w:val="24"/>
          <w:szCs w:val="24"/>
        </w:rPr>
        <w:t>人数逐年明显增加，2</w:t>
      </w:r>
      <w:r>
        <w:rPr>
          <w:rFonts w:ascii="仿宋" w:eastAsia="仿宋" w:hAnsi="仿宋"/>
          <w:sz w:val="24"/>
          <w:szCs w:val="24"/>
        </w:rPr>
        <w:t>021</w:t>
      </w:r>
      <w:r>
        <w:rPr>
          <w:rFonts w:ascii="仿宋" w:eastAsia="仿宋" w:hAnsi="仿宋" w:hint="eastAsia"/>
          <w:sz w:val="24"/>
          <w:szCs w:val="24"/>
        </w:rPr>
        <w:t>年申请人数更是达到1</w:t>
      </w:r>
      <w:r>
        <w:rPr>
          <w:rFonts w:ascii="仿宋" w:eastAsia="仿宋" w:hAnsi="仿宋"/>
          <w:sz w:val="24"/>
          <w:szCs w:val="24"/>
        </w:rPr>
        <w:t>046</w:t>
      </w:r>
      <w:r>
        <w:rPr>
          <w:rFonts w:ascii="仿宋" w:eastAsia="仿宋" w:hAnsi="仿宋" w:hint="eastAsia"/>
          <w:sz w:val="24"/>
          <w:szCs w:val="24"/>
        </w:rPr>
        <w:t>人。为进一步做好推免生的择优录取工作，我院将于2</w:t>
      </w:r>
      <w:r>
        <w:rPr>
          <w:rFonts w:ascii="仿宋" w:eastAsia="仿宋" w:hAnsi="仿宋"/>
          <w:sz w:val="24"/>
          <w:szCs w:val="24"/>
        </w:rPr>
        <w:t>022</w:t>
      </w:r>
      <w:r>
        <w:rPr>
          <w:rFonts w:ascii="仿宋" w:eastAsia="仿宋" w:hAnsi="仿宋" w:hint="eastAsia"/>
          <w:sz w:val="24"/>
          <w:szCs w:val="24"/>
        </w:rPr>
        <w:t>年起进一步提高推免生的申请条件和要求。</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近5年报名统考人数居高不下，考录比远高于10:1，大部分专业一直都是暨大最热门的报考专业之一。</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017</w:t>
      </w:r>
      <w:r>
        <w:rPr>
          <w:rFonts w:ascii="仿宋" w:eastAsia="仿宋" w:hAnsi="仿宋" w:hint="eastAsia"/>
          <w:sz w:val="24"/>
          <w:szCs w:val="24"/>
        </w:rPr>
        <w:t>年-</w:t>
      </w:r>
      <w:r>
        <w:rPr>
          <w:rFonts w:ascii="仿宋" w:eastAsia="仿宋" w:hAnsi="仿宋"/>
          <w:sz w:val="24"/>
          <w:szCs w:val="24"/>
        </w:rPr>
        <w:t>2021</w:t>
      </w:r>
      <w:r>
        <w:rPr>
          <w:rFonts w:ascii="仿宋" w:eastAsia="仿宋" w:hAnsi="仿宋" w:hint="eastAsia"/>
          <w:sz w:val="24"/>
          <w:szCs w:val="24"/>
        </w:rPr>
        <w:t>年的报考数据如下：</w:t>
      </w:r>
    </w:p>
    <w:tbl>
      <w:tblPr>
        <w:tblStyle w:val="ab"/>
        <w:tblW w:w="0" w:type="auto"/>
        <w:jc w:val="center"/>
        <w:tblLook w:val="04A0" w:firstRow="1" w:lastRow="0" w:firstColumn="1" w:lastColumn="0" w:noHBand="0" w:noVBand="1"/>
      </w:tblPr>
      <w:tblGrid>
        <w:gridCol w:w="960"/>
        <w:gridCol w:w="1240"/>
        <w:gridCol w:w="960"/>
        <w:gridCol w:w="1240"/>
        <w:gridCol w:w="1240"/>
        <w:gridCol w:w="1985"/>
      </w:tblGrid>
      <w:tr w:rsidR="00CA083C">
        <w:trPr>
          <w:trHeight w:val="576"/>
          <w:jc w:val="center"/>
        </w:trPr>
        <w:tc>
          <w:tcPr>
            <w:tcW w:w="960" w:type="dxa"/>
            <w:tcBorders>
              <w:top w:val="single" w:sz="4" w:space="0" w:color="auto"/>
              <w:left w:val="single" w:sz="4" w:space="0" w:color="auto"/>
              <w:bottom w:val="single" w:sz="4" w:space="0" w:color="auto"/>
              <w:right w:val="single" w:sz="4" w:space="0" w:color="auto"/>
            </w:tcBorders>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年份</w:t>
            </w:r>
          </w:p>
        </w:tc>
        <w:tc>
          <w:tcPr>
            <w:tcW w:w="1240" w:type="dxa"/>
            <w:tcBorders>
              <w:top w:val="single" w:sz="4" w:space="0" w:color="auto"/>
              <w:left w:val="single" w:sz="4" w:space="0" w:color="auto"/>
              <w:bottom w:val="single" w:sz="4" w:space="0" w:color="auto"/>
              <w:right w:val="single" w:sz="4" w:space="0" w:color="auto"/>
            </w:tcBorders>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报考人数</w:t>
            </w:r>
          </w:p>
        </w:tc>
        <w:tc>
          <w:tcPr>
            <w:tcW w:w="960" w:type="dxa"/>
            <w:tcBorders>
              <w:top w:val="single" w:sz="4" w:space="0" w:color="auto"/>
              <w:left w:val="single" w:sz="4" w:space="0" w:color="auto"/>
              <w:bottom w:val="single" w:sz="4" w:space="0" w:color="auto"/>
              <w:right w:val="single" w:sz="4" w:space="0" w:color="auto"/>
            </w:tcBorders>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录取数</w:t>
            </w:r>
          </w:p>
        </w:tc>
        <w:tc>
          <w:tcPr>
            <w:tcW w:w="1240" w:type="dxa"/>
            <w:tcBorders>
              <w:top w:val="single" w:sz="4" w:space="0" w:color="auto"/>
              <w:left w:val="single" w:sz="4" w:space="0" w:color="auto"/>
              <w:bottom w:val="single" w:sz="4" w:space="0" w:color="auto"/>
              <w:right w:val="single" w:sz="4" w:space="0" w:color="auto"/>
            </w:tcBorders>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proofErr w:type="gramStart"/>
            <w:r>
              <w:rPr>
                <w:rFonts w:ascii="仿宋_GB2312" w:eastAsia="仿宋_GB2312" w:hAnsi="等线" w:cs="宋体" w:hint="eastAsia"/>
                <w:b/>
                <w:bCs/>
                <w:color w:val="000000"/>
                <w:kern w:val="0"/>
                <w:sz w:val="21"/>
                <w:szCs w:val="21"/>
              </w:rPr>
              <w:t>推免指标</w:t>
            </w:r>
            <w:proofErr w:type="gramEnd"/>
          </w:p>
        </w:tc>
        <w:tc>
          <w:tcPr>
            <w:tcW w:w="1240" w:type="dxa"/>
            <w:tcBorders>
              <w:top w:val="single" w:sz="4" w:space="0" w:color="auto"/>
              <w:left w:val="single" w:sz="4" w:space="0" w:color="auto"/>
              <w:bottom w:val="single" w:sz="4" w:space="0" w:color="auto"/>
              <w:right w:val="single" w:sz="4" w:space="0" w:color="auto"/>
            </w:tcBorders>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统考指标</w:t>
            </w:r>
          </w:p>
        </w:tc>
        <w:tc>
          <w:tcPr>
            <w:tcW w:w="1985" w:type="dxa"/>
            <w:tcBorders>
              <w:top w:val="single" w:sz="4" w:space="0" w:color="auto"/>
              <w:left w:val="single" w:sz="4" w:space="0" w:color="auto"/>
              <w:bottom w:val="single" w:sz="4" w:space="0" w:color="auto"/>
              <w:right w:val="single" w:sz="4" w:space="0" w:color="auto"/>
            </w:tcBorders>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统考录取比例</w:t>
            </w:r>
            <w:bookmarkStart w:id="0" w:name="_GoBack"/>
            <w:bookmarkEnd w:id="0"/>
          </w:p>
        </w:tc>
      </w:tr>
      <w:tr w:rsidR="00CA083C">
        <w:trPr>
          <w:trHeight w:val="576"/>
          <w:jc w:val="center"/>
        </w:trPr>
        <w:tc>
          <w:tcPr>
            <w:tcW w:w="960" w:type="dxa"/>
            <w:tcBorders>
              <w:top w:val="single" w:sz="4" w:space="0" w:color="auto"/>
              <w:left w:val="single" w:sz="4" w:space="0" w:color="auto"/>
              <w:bottom w:val="single" w:sz="4" w:space="0" w:color="auto"/>
              <w:right w:val="single" w:sz="4" w:space="0" w:color="auto"/>
            </w:tcBorders>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2021年</w:t>
            </w:r>
          </w:p>
        </w:tc>
        <w:tc>
          <w:tcPr>
            <w:tcW w:w="1240" w:type="dxa"/>
            <w:tcBorders>
              <w:top w:val="single" w:sz="4" w:space="0" w:color="auto"/>
              <w:left w:val="single" w:sz="4" w:space="0" w:color="auto"/>
              <w:bottom w:val="single" w:sz="4" w:space="0" w:color="auto"/>
              <w:right w:val="single" w:sz="4" w:space="0" w:color="auto"/>
            </w:tcBorders>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1013</w:t>
            </w:r>
          </w:p>
        </w:tc>
        <w:tc>
          <w:tcPr>
            <w:tcW w:w="96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166</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87</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89</w:t>
            </w:r>
          </w:p>
        </w:tc>
        <w:tc>
          <w:tcPr>
            <w:tcW w:w="1985"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8.8%</w:t>
            </w:r>
          </w:p>
        </w:tc>
      </w:tr>
      <w:tr w:rsidR="00CA083C">
        <w:trPr>
          <w:trHeight w:val="576"/>
          <w:jc w:val="center"/>
        </w:trPr>
        <w:tc>
          <w:tcPr>
            <w:tcW w:w="960" w:type="dxa"/>
            <w:tcBorders>
              <w:top w:val="single" w:sz="4" w:space="0" w:color="auto"/>
              <w:left w:val="single" w:sz="4" w:space="0" w:color="auto"/>
              <w:bottom w:val="single" w:sz="4" w:space="0" w:color="auto"/>
              <w:right w:val="single" w:sz="4" w:space="0" w:color="auto"/>
            </w:tcBorders>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2020年</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1175</w:t>
            </w:r>
          </w:p>
        </w:tc>
        <w:tc>
          <w:tcPr>
            <w:tcW w:w="96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174</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96</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79</w:t>
            </w:r>
          </w:p>
        </w:tc>
        <w:tc>
          <w:tcPr>
            <w:tcW w:w="1985"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6.7%</w:t>
            </w:r>
          </w:p>
        </w:tc>
      </w:tr>
      <w:tr w:rsidR="00CA083C">
        <w:trPr>
          <w:trHeight w:val="576"/>
          <w:jc w:val="center"/>
        </w:trPr>
        <w:tc>
          <w:tcPr>
            <w:tcW w:w="960" w:type="dxa"/>
            <w:tcBorders>
              <w:top w:val="single" w:sz="4" w:space="0" w:color="auto"/>
              <w:left w:val="single" w:sz="4" w:space="0" w:color="auto"/>
              <w:bottom w:val="single" w:sz="4" w:space="0" w:color="auto"/>
              <w:right w:val="single" w:sz="4" w:space="0" w:color="auto"/>
            </w:tcBorders>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2019年</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1107</w:t>
            </w:r>
          </w:p>
        </w:tc>
        <w:tc>
          <w:tcPr>
            <w:tcW w:w="96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172</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117</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62</w:t>
            </w:r>
          </w:p>
        </w:tc>
        <w:tc>
          <w:tcPr>
            <w:tcW w:w="1985"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5.6%</w:t>
            </w:r>
          </w:p>
        </w:tc>
      </w:tr>
      <w:tr w:rsidR="00CA083C">
        <w:trPr>
          <w:trHeight w:val="576"/>
          <w:jc w:val="center"/>
        </w:trPr>
        <w:tc>
          <w:tcPr>
            <w:tcW w:w="960" w:type="dxa"/>
            <w:tcBorders>
              <w:top w:val="single" w:sz="4" w:space="0" w:color="auto"/>
              <w:left w:val="single" w:sz="4" w:space="0" w:color="auto"/>
              <w:bottom w:val="single" w:sz="4" w:space="0" w:color="auto"/>
              <w:right w:val="single" w:sz="4" w:space="0" w:color="auto"/>
            </w:tcBorders>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2018年</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1205</w:t>
            </w:r>
          </w:p>
        </w:tc>
        <w:tc>
          <w:tcPr>
            <w:tcW w:w="96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176</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109</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77</w:t>
            </w:r>
          </w:p>
        </w:tc>
        <w:tc>
          <w:tcPr>
            <w:tcW w:w="1985"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6.4%</w:t>
            </w:r>
          </w:p>
        </w:tc>
      </w:tr>
      <w:tr w:rsidR="00CA083C">
        <w:trPr>
          <w:trHeight w:val="576"/>
          <w:jc w:val="center"/>
        </w:trPr>
        <w:tc>
          <w:tcPr>
            <w:tcW w:w="960" w:type="dxa"/>
            <w:tcBorders>
              <w:top w:val="single" w:sz="4" w:space="0" w:color="auto"/>
              <w:left w:val="single" w:sz="4" w:space="0" w:color="auto"/>
              <w:bottom w:val="single" w:sz="4" w:space="0" w:color="auto"/>
              <w:right w:val="single" w:sz="4" w:space="0" w:color="auto"/>
            </w:tcBorders>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2017年</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1253</w:t>
            </w:r>
          </w:p>
        </w:tc>
        <w:tc>
          <w:tcPr>
            <w:tcW w:w="96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186</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121</w:t>
            </w:r>
          </w:p>
        </w:tc>
        <w:tc>
          <w:tcPr>
            <w:tcW w:w="1240"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77</w:t>
            </w:r>
          </w:p>
        </w:tc>
        <w:tc>
          <w:tcPr>
            <w:tcW w:w="1985" w:type="dxa"/>
            <w:tcBorders>
              <w:top w:val="single" w:sz="4" w:space="0" w:color="auto"/>
              <w:left w:val="single" w:sz="4" w:space="0" w:color="auto"/>
              <w:bottom w:val="single" w:sz="4" w:space="0" w:color="auto"/>
              <w:right w:val="single" w:sz="4" w:space="0" w:color="auto"/>
            </w:tcBorders>
            <w:noWrap/>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6.1%</w:t>
            </w:r>
          </w:p>
        </w:tc>
      </w:tr>
    </w:tbl>
    <w:p w:rsidR="00CA083C" w:rsidRDefault="00771C28">
      <w:pPr>
        <w:pStyle w:val="3"/>
        <w:spacing w:line="560" w:lineRule="exact"/>
        <w:ind w:firstLine="480"/>
        <w:rPr>
          <w:sz w:val="24"/>
          <w:szCs w:val="24"/>
        </w:rPr>
      </w:pPr>
      <w:r>
        <w:rPr>
          <w:rFonts w:hint="eastAsia"/>
          <w:sz w:val="24"/>
          <w:szCs w:val="24"/>
        </w:rPr>
        <w:t>2.</w:t>
      </w:r>
      <w:proofErr w:type="gramStart"/>
      <w:r>
        <w:rPr>
          <w:rFonts w:hint="eastAsia"/>
          <w:sz w:val="24"/>
          <w:szCs w:val="24"/>
        </w:rPr>
        <w:t>思政教育</w:t>
      </w:r>
      <w:proofErr w:type="gramEnd"/>
      <w:r>
        <w:rPr>
          <w:rFonts w:hint="eastAsia"/>
          <w:sz w:val="24"/>
          <w:szCs w:val="24"/>
        </w:rPr>
        <w:t xml:space="preserve"> </w:t>
      </w:r>
      <w:r>
        <w:rPr>
          <w:sz w:val="24"/>
          <w:szCs w:val="24"/>
        </w:rPr>
        <w:t xml:space="preserve"> </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本学位点在习近平总书记两度视察广东、粤港澳大湾区战略推进的大好形势下，深入贯彻习近平总书记亲临暨南大学所作重要讲话精神，全面落实教育部“三全育人”改革部署，为学科建设立心，为人才培养铸魂，</w:t>
      </w:r>
      <w:proofErr w:type="gramStart"/>
      <w:r>
        <w:rPr>
          <w:rFonts w:ascii="仿宋" w:eastAsia="仿宋" w:hAnsi="仿宋" w:hint="eastAsia"/>
          <w:sz w:val="24"/>
          <w:szCs w:val="24"/>
        </w:rPr>
        <w:t>践行</w:t>
      </w:r>
      <w:proofErr w:type="gramEnd"/>
      <w:r>
        <w:rPr>
          <w:rFonts w:ascii="仿宋" w:eastAsia="仿宋" w:hAnsi="仿宋" w:hint="eastAsia"/>
          <w:sz w:val="24"/>
          <w:szCs w:val="24"/>
        </w:rPr>
        <w:t>社会主义大学育人使命，做法如下：</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一是擦亮“侨”牌。本学科立足</w:t>
      </w:r>
      <w:proofErr w:type="gramStart"/>
      <w:r>
        <w:rPr>
          <w:rFonts w:ascii="仿宋" w:eastAsia="仿宋" w:hAnsi="仿宋" w:hint="eastAsia"/>
          <w:sz w:val="24"/>
          <w:szCs w:val="24"/>
        </w:rPr>
        <w:t>百年暨</w:t>
      </w:r>
      <w:proofErr w:type="gramEnd"/>
      <w:r>
        <w:rPr>
          <w:rFonts w:ascii="仿宋" w:eastAsia="仿宋" w:hAnsi="仿宋" w:hint="eastAsia"/>
          <w:sz w:val="24"/>
          <w:szCs w:val="24"/>
        </w:rPr>
        <w:t>南“面向海外、面向港澳台”办学方向，针对内地生、港澳台侨生和留学生特点，在“至</w:t>
      </w:r>
      <w:proofErr w:type="gramStart"/>
      <w:r>
        <w:rPr>
          <w:rFonts w:ascii="仿宋" w:eastAsia="仿宋" w:hAnsi="仿宋" w:hint="eastAsia"/>
          <w:sz w:val="24"/>
          <w:szCs w:val="24"/>
        </w:rPr>
        <w:t>臻</w:t>
      </w:r>
      <w:proofErr w:type="gramEnd"/>
      <w:r>
        <w:rPr>
          <w:rFonts w:ascii="仿宋" w:eastAsia="仿宋" w:hAnsi="仿宋" w:hint="eastAsia"/>
          <w:sz w:val="24"/>
          <w:szCs w:val="24"/>
        </w:rPr>
        <w:t>学业，多元共融”校园文化氛围中，以“分类培养、分流教学、同相融合”的侨校育人模式具化、做细、落实大思政。通过“红色基因·学生党员先锋培育计划”、“信仰启航”“先锋示范”“卓越领航”三大工程，培养“有家国情怀、有过硬本领、有国际视野”的又红又专优秀学科人才；通过实施“优秀港澳台侨学生学业精进砥砺前行培养工程”、组建“港澳台侨学生国情社情考察团”，引导港澳台侨学生增强“四个认同”。</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二是传承“政”统。溯源于50 年代设立的政治经济学专业，应用经济学始终在马克思主义世界观、方法论和经济思想指导下确立起“讲政治”的优良传统，通过课程</w:t>
      </w:r>
      <w:proofErr w:type="gramStart"/>
      <w:r>
        <w:rPr>
          <w:rFonts w:ascii="仿宋" w:eastAsia="仿宋" w:hAnsi="仿宋" w:hint="eastAsia"/>
          <w:sz w:val="24"/>
          <w:szCs w:val="24"/>
        </w:rPr>
        <w:t>思政改革</w:t>
      </w:r>
      <w:proofErr w:type="gramEnd"/>
      <w:r>
        <w:rPr>
          <w:rFonts w:ascii="仿宋" w:eastAsia="仿宋" w:hAnsi="仿宋" w:hint="eastAsia"/>
          <w:sz w:val="24"/>
          <w:szCs w:val="24"/>
        </w:rPr>
        <w:t>固本而开新：将“四个自信”寓于《中国特色社会主义经济理论专题》、“四史”教育纳入《中国经济史》等课堂的教学设计；通过《商业伦理》、《经济研究方法论》等课程的学习和实训，培育社会主义核心价值观，</w:t>
      </w:r>
      <w:proofErr w:type="gramStart"/>
      <w:r>
        <w:rPr>
          <w:rFonts w:ascii="仿宋" w:eastAsia="仿宋" w:hAnsi="仿宋" w:hint="eastAsia"/>
          <w:sz w:val="24"/>
          <w:szCs w:val="24"/>
        </w:rPr>
        <w:t>将思政元素</w:t>
      </w:r>
      <w:proofErr w:type="gramEnd"/>
      <w:r>
        <w:rPr>
          <w:rFonts w:ascii="仿宋" w:eastAsia="仿宋" w:hAnsi="仿宋" w:hint="eastAsia"/>
          <w:sz w:val="24"/>
          <w:szCs w:val="24"/>
        </w:rPr>
        <w:t>和育人宗旨细化分解到专业培养计划中。通过建章立制，严格规范教材、授课、科研、学术交流、师资引进等各个方面与环节，营造风清气正的网络环境，全天候全方位，确保意识形态阵地管理无漏洞。将学科发展、基层党建、</w:t>
      </w:r>
      <w:proofErr w:type="gramStart"/>
      <w:r>
        <w:rPr>
          <w:rFonts w:ascii="仿宋" w:eastAsia="仿宋" w:hAnsi="仿宋" w:hint="eastAsia"/>
          <w:sz w:val="24"/>
          <w:szCs w:val="24"/>
        </w:rPr>
        <w:t>思政教育</w:t>
      </w:r>
      <w:proofErr w:type="gramEnd"/>
      <w:r>
        <w:rPr>
          <w:rFonts w:ascii="仿宋" w:eastAsia="仿宋" w:hAnsi="仿宋" w:hint="eastAsia"/>
          <w:sz w:val="24"/>
          <w:szCs w:val="24"/>
        </w:rPr>
        <w:t>，围绕“立德树人”统“单”“分”为“合”“全”，成为一体化的社会主义建设者育人平台。</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三是教人以“德”。育人先修身，高标准建设学科师资队伍。以《师德师风考核实施办法》、“经济学院特殊贡献奖”、“教师党支部‘双带头人’培育计划”、“青年教师能力提升工作坊”、“课程思政名师工作室”为切入点和着力点，用好考评“指挥棒”，发挥“头雁”引领作用。与延安干部培训学院合作，全员培训与骨干培养相结合，开展以</w:t>
      </w:r>
      <w:proofErr w:type="gramStart"/>
      <w:r>
        <w:rPr>
          <w:rFonts w:ascii="仿宋" w:eastAsia="仿宋" w:hAnsi="仿宋" w:hint="eastAsia"/>
          <w:sz w:val="24"/>
          <w:szCs w:val="24"/>
        </w:rPr>
        <w:t>课程思政为</w:t>
      </w:r>
      <w:proofErr w:type="gramEnd"/>
      <w:r>
        <w:rPr>
          <w:rFonts w:ascii="仿宋" w:eastAsia="仿宋" w:hAnsi="仿宋" w:hint="eastAsia"/>
          <w:sz w:val="24"/>
          <w:szCs w:val="24"/>
        </w:rPr>
        <w:t>主题的教师培训。</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四是学在应“用”。具体依托经济管理国家级教学实验示范中心、社会调查中心，发挥实践课堂育人功能；打造“广东千村调查”“‘百企千人’港澳青年学生实习计划”“南粤炊烟·行走课堂”等社会实践育人品牌，为学生创造充分认识和研究社会的机会，培育乡土意识和爱国情怀。通过“名师下午茶”科研实践分享，培养学术操守；聆听“经院校友大讲堂”，了解业界前沿，学习职业道德。</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本学科所依托院系的辅导员总数是21人，其中，专职辅导员17人，兼职辅导员4人。专职辅导员管理的学生总数是3247人，生师比为191：1；兼职辅导员管理的学生总数是160人，生师比为40：1。</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本学科“三全育人”综合改革探索日见成效，侨校模式、五育并举的“大思政”育人格局和长效机制已然形成。</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育人有保障，党委全面领导作用突出：学院党委获批“广东省党建工作标杆院系”培育创建单位、2019年度广东省教育科学“十三五”规划党建研究项目立项，党建工作</w:t>
      </w:r>
      <w:proofErr w:type="gramStart"/>
      <w:r>
        <w:rPr>
          <w:rFonts w:ascii="仿宋" w:eastAsia="仿宋" w:hAnsi="仿宋" w:hint="eastAsia"/>
          <w:sz w:val="24"/>
          <w:szCs w:val="24"/>
        </w:rPr>
        <w:t>案例获</w:t>
      </w:r>
      <w:proofErr w:type="gramEnd"/>
      <w:r>
        <w:rPr>
          <w:rFonts w:ascii="仿宋" w:eastAsia="仿宋" w:hAnsi="仿宋" w:hint="eastAsia"/>
          <w:sz w:val="24"/>
          <w:szCs w:val="24"/>
        </w:rPr>
        <w:t>教育部全国高校“两学一做”学生党支部精品工作案例、广东省高校基层党建工作创新案例二等奖。院系党组织“守好责任田”，主动担负起政治责任和领导责任，牢牢把握住意识形态阵地主导权。</w:t>
      </w:r>
      <w:proofErr w:type="gramStart"/>
      <w:r>
        <w:rPr>
          <w:rFonts w:ascii="仿宋" w:eastAsia="仿宋" w:hAnsi="仿宋" w:hint="eastAsia"/>
          <w:sz w:val="24"/>
          <w:szCs w:val="24"/>
        </w:rPr>
        <w:t>学科党建</w:t>
      </w:r>
      <w:proofErr w:type="gramEnd"/>
      <w:r>
        <w:rPr>
          <w:rFonts w:ascii="仿宋" w:eastAsia="仿宋" w:hAnsi="仿宋" w:hint="eastAsia"/>
          <w:sz w:val="24"/>
          <w:szCs w:val="24"/>
        </w:rPr>
        <w:t>工作扎实有力，品牌效应突出，基层党组织战斗堡垒作用和共产党员的先锋模范作用充分发挥，为凝聚各方力量、提升“大思政”育人合力提供了强大的体制保障，讲政治的传统优势转化为提升思政工作水平和育人质量的持久动力。</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育人有思路，学科特色思政体系建立：学科“三全育人”综合改革的政治、思想、行动自觉意识显著提升，教师、管理人员、校友和家长协调联动，同心同向发力的良好育人局面已形成。</w:t>
      </w:r>
      <w:proofErr w:type="gramStart"/>
      <w:r>
        <w:rPr>
          <w:rFonts w:ascii="仿宋" w:eastAsia="仿宋" w:hAnsi="仿宋" w:hint="eastAsia"/>
          <w:sz w:val="24"/>
          <w:szCs w:val="24"/>
        </w:rPr>
        <w:t>思政育人</w:t>
      </w:r>
      <w:proofErr w:type="gramEnd"/>
      <w:r>
        <w:rPr>
          <w:rFonts w:ascii="仿宋" w:eastAsia="仿宋" w:hAnsi="仿宋" w:hint="eastAsia"/>
          <w:sz w:val="24"/>
          <w:szCs w:val="24"/>
        </w:rPr>
        <w:t>品牌特色鲜明、亮点突出，多次被作为典型案例和先进做法进行推广。其中，“千村调查项目”累计招募三百余名学子组队前往3000余户农村家庭，走进田间地头，了解社会民生，获广东卫视专题报道。优秀港澳台侨学生学业精进砥砺前行培养工程辐射2700余港澳台侨学生。荣获全国五四红旗团支部、广东省高校学生工作优秀团队、广东省五四红旗团委等。</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育人有成效，学生全面发展素质提升：五年间累计200余人次获省部级以上表彰奖励，学生社会实践和创新创业成果丰硕。发表学术论文近500篇，学生3人次获“中国大学生年度人物”提名奖，学生调查报告入选“全国百篇优秀调研报告”；连续十年获校级田径运动会团体冠军。学生感恩意识强，主动奉献社会，积极参加大学生志愿服务西部计划和投身疫情防控一线，23 名毕业生选择到西部地区就业，3 名少数民族骨干计划毕业生回到生源地基层工作，2 名毕业生申请西部计划。毕业生深造率持续攀升，总体就业率达96%以上。近5年累计为港澳台地区培养输送</w:t>
      </w:r>
      <w:r>
        <w:rPr>
          <w:rFonts w:ascii="仿宋" w:eastAsia="仿宋" w:hAnsi="仿宋"/>
          <w:sz w:val="24"/>
          <w:szCs w:val="24"/>
        </w:rPr>
        <w:t>200</w:t>
      </w:r>
      <w:r>
        <w:rPr>
          <w:rFonts w:ascii="仿宋" w:eastAsia="仿宋" w:hAnsi="仿宋" w:hint="eastAsia"/>
          <w:sz w:val="24"/>
          <w:szCs w:val="24"/>
        </w:rPr>
        <w:t>余名优秀经济学人才，成为“一国两制”繁荣稳定的建设者、参与者。</w:t>
      </w:r>
    </w:p>
    <w:p w:rsidR="00CA083C" w:rsidRDefault="00771C28">
      <w:pPr>
        <w:pStyle w:val="3"/>
        <w:spacing w:line="560" w:lineRule="exact"/>
        <w:ind w:firstLine="480"/>
        <w:rPr>
          <w:sz w:val="24"/>
          <w:szCs w:val="24"/>
        </w:rPr>
      </w:pPr>
      <w:bookmarkStart w:id="1" w:name="_Hlk67061882"/>
      <w:r>
        <w:rPr>
          <w:rFonts w:hint="eastAsia"/>
          <w:sz w:val="24"/>
          <w:szCs w:val="24"/>
        </w:rPr>
        <w:t>3.课程教学</w:t>
      </w:r>
    </w:p>
    <w:bookmarkEnd w:id="1"/>
    <w:p w:rsidR="00CA083C" w:rsidRDefault="00771C28">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学位点深入学习贯彻近年来国家关于学位与研究生教育的相关文件，依据“第四次科技革命”、粤港澳大湾区发展战略、“一带一路”倡议等对学位与研究生教育的影响与需求，贯彻落实创新创业教育理念，通过系列举措提升应用经济学学位点的课程教学质量，在省级优秀教学成果和教学大赛中获得优秀成绩，近5年，分别获得省级优秀教育教学成果奖特等、一等、二等奖各一项；1人获青年教学大赛一等奖。</w:t>
      </w:r>
    </w:p>
    <w:p w:rsidR="00CA083C" w:rsidRDefault="00771C28">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（1）精准“对标”，凸显特色，契合国家人才培养目标，完善课程架构、推进分层培养、修订培养方案，每一门研究生课程都制定了详细的教学大纲。</w:t>
      </w:r>
    </w:p>
    <w:p w:rsidR="00CA083C" w:rsidRDefault="00771C28">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①进一步完善“学校+学科+专业”三级课程架构，完善分类、分层培养。学术学位研究生培养，注重课程内容的前沿性，实现科教融合，强化研究生的科研方法训练、学术素质培养和国际学术交流能力的提高。故课程设置既注重打牢研究生的基础理论，又注重学生对学科专业前沿跟踪、了解与掌握。层次上博士研究生培养注重其学术创新性能力，硕士研究生注重培养其应用性能力，专业学位突出对行业实践前沿、职业能力要求的关注，探索多种形式、行之有效的实践教学方式。</w:t>
      </w:r>
    </w:p>
    <w:p w:rsidR="00CA083C" w:rsidRDefault="00771C28">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a</w:t>
      </w:r>
      <w:r>
        <w:rPr>
          <w:rFonts w:ascii="仿宋" w:eastAsia="仿宋" w:hAnsi="仿宋" w:cs="宋体"/>
          <w:color w:val="auto"/>
          <w:kern w:val="0"/>
          <w:sz w:val="24"/>
          <w:szCs w:val="24"/>
        </w:rPr>
        <w:t>.</w:t>
      </w:r>
      <w:r>
        <w:rPr>
          <w:rFonts w:ascii="仿宋" w:eastAsia="仿宋" w:hAnsi="仿宋" w:cs="宋体" w:hint="eastAsia"/>
          <w:color w:val="auto"/>
          <w:kern w:val="0"/>
          <w:sz w:val="24"/>
          <w:szCs w:val="24"/>
        </w:rPr>
        <w:t>博士研究生总学分要求调整为22学分。扩充博士学位课程《高级微观经济学》《高级宏观经济学》《高级计量经济学》教学内容，调整为共300课时12学分，培养学生更扎实的理论基础。</w:t>
      </w:r>
    </w:p>
    <w:p w:rsidR="00CA083C" w:rsidRDefault="00771C28">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b</w:t>
      </w:r>
      <w:r>
        <w:rPr>
          <w:rFonts w:ascii="仿宋" w:eastAsia="仿宋" w:hAnsi="仿宋" w:cs="宋体"/>
          <w:color w:val="auto"/>
          <w:kern w:val="0"/>
          <w:sz w:val="24"/>
          <w:szCs w:val="24"/>
        </w:rPr>
        <w:t>.</w:t>
      </w:r>
      <w:r>
        <w:rPr>
          <w:rFonts w:ascii="仿宋" w:eastAsia="仿宋" w:hAnsi="仿宋" w:cs="宋体" w:hint="eastAsia"/>
          <w:color w:val="auto"/>
          <w:kern w:val="0"/>
          <w:sz w:val="24"/>
          <w:szCs w:val="24"/>
        </w:rPr>
        <w:t xml:space="preserve">增设《中国特色社会主义经济理论专题》《中观经济学》等经济学科的基础理论课程。强化学术诚信、学术规范和学术道德教育，把论文写作指导课程作为必修课，增设《学术规范与论文撰写》。 </w:t>
      </w:r>
    </w:p>
    <w:p w:rsidR="00CA083C" w:rsidRDefault="00771C28">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②汇聚师资队伍，创新课程内涵，以一流师资团队组建高质量课程组。“三高”课程为主体的课程组具有合理的年龄结构，资深教授与优秀青年教师有机组合，形成一支有卓越科研能力、有丰富教学经验的教学团队。 “三高”课程实施统一教学大纲、统一教案、统一命题和考试，统一阅卷，并以“三高”课程成绩作为奖学金评定的重要依据之一，对学术学位研究生实行高标准的教学培养。</w:t>
      </w:r>
    </w:p>
    <w:p w:rsidR="00CA083C" w:rsidRDefault="00771C28">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③加大对课程建设与教学改革的激励与支持。深化教师薪酬制度改革，提高了研究生课程建设和教学工作在绩效工资分配中的比重，着重加大对基础性学位课的课程建设力度，表彰成效突出的教师，评选年度优秀授课教师。统筹使用各类经费，加大对研究生课程建设，增设设立三高课程学生教学助理，打造研究生“金课”。</w:t>
      </w:r>
    </w:p>
    <w:p w:rsidR="00CA083C" w:rsidRDefault="00771C28">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④实施“立体式”课程教学评价与培养质量监督机制。根据暨</w:t>
      </w:r>
      <w:proofErr w:type="gramStart"/>
      <w:r>
        <w:rPr>
          <w:rFonts w:ascii="仿宋" w:eastAsia="仿宋" w:hAnsi="仿宋" w:cs="宋体" w:hint="eastAsia"/>
          <w:color w:val="auto"/>
          <w:kern w:val="0"/>
          <w:sz w:val="24"/>
          <w:szCs w:val="24"/>
        </w:rPr>
        <w:t>研</w:t>
      </w:r>
      <w:proofErr w:type="gramEnd"/>
      <w:r>
        <w:rPr>
          <w:rFonts w:ascii="仿宋" w:eastAsia="仿宋" w:hAnsi="仿宋" w:cs="宋体" w:hint="eastAsia"/>
          <w:color w:val="auto"/>
          <w:kern w:val="0"/>
          <w:sz w:val="24"/>
          <w:szCs w:val="24"/>
        </w:rPr>
        <w:t>通【2017】16号《暨南大学研究生课程教学质量评估办法》，学位点设计研究生课程网上评教问卷、召开博士研究生座谈会，全面推进研究生课程教学质量评估工作。从教师投入、教学控制、教学效果三方面，对老师的履职、教学内容、教学方法、教学水平及教学效果进行评估。建立“院系领导+专家”双层研究生教育督导委员会，采取“常规督导”和“专项督导”方式，对研究生培养的全过程进行监督指导，优化质量保障体系、提升教学质量。</w:t>
      </w:r>
    </w:p>
    <w:p w:rsidR="00CA083C" w:rsidRDefault="00771C28">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⑤加强研究生的学术交流和文献阅读指导。通过“柔性引进”方式聘请知名高校学者或行业</w:t>
      </w:r>
      <w:proofErr w:type="gramStart"/>
      <w:r>
        <w:rPr>
          <w:rFonts w:ascii="仿宋" w:eastAsia="仿宋" w:hAnsi="仿宋" w:cs="宋体" w:hint="eastAsia"/>
          <w:color w:val="auto"/>
          <w:kern w:val="0"/>
          <w:sz w:val="24"/>
          <w:szCs w:val="24"/>
        </w:rPr>
        <w:t>内专家</w:t>
      </w:r>
      <w:proofErr w:type="gramEnd"/>
      <w:r>
        <w:rPr>
          <w:rFonts w:ascii="仿宋" w:eastAsia="仿宋" w:hAnsi="仿宋" w:cs="宋体" w:hint="eastAsia"/>
          <w:color w:val="auto"/>
          <w:kern w:val="0"/>
          <w:sz w:val="24"/>
          <w:szCs w:val="24"/>
        </w:rPr>
        <w:t>学者为研究生授课、讲座。五年内，举办学术报告（Seminar）600余场；设立博士研究生学术沙龙，由中青年教师深度参与指导博士研究生开展文献阅读、论文研讨等。</w:t>
      </w:r>
    </w:p>
    <w:p w:rsidR="00CA083C" w:rsidRDefault="00771C28">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2）加强过程管理，学位点率先推行博士生须参加博士生资格考试，博士生资格考试要求具体参照《理论经济学、应用经济学博士研究生（内招）资格考试管理办法（试行）》。资格考试通过后，方能参加中期考核。</w:t>
      </w:r>
    </w:p>
    <w:p w:rsidR="00CA083C" w:rsidRDefault="00771C28">
      <w:pPr>
        <w:pStyle w:val="3"/>
        <w:spacing w:line="560" w:lineRule="exact"/>
        <w:ind w:firstLine="480"/>
        <w:rPr>
          <w:rFonts w:ascii="仿宋" w:eastAsia="仿宋" w:hAnsi="仿宋" w:cs="宋体"/>
          <w:color w:val="auto"/>
          <w:kern w:val="0"/>
          <w:sz w:val="24"/>
          <w:szCs w:val="24"/>
        </w:rPr>
      </w:pPr>
      <w:r>
        <w:rPr>
          <w:rFonts w:ascii="仿宋" w:eastAsia="仿宋" w:hAnsi="仿宋" w:cs="宋体" w:hint="eastAsia"/>
          <w:color w:val="auto"/>
          <w:kern w:val="0"/>
          <w:sz w:val="24"/>
          <w:szCs w:val="24"/>
        </w:rPr>
        <w:t>（3）进一步加强中期考核管理。中期考核安排在开题报告之后进行，依据论文答辩的标准，进行论文的阶段进展报告。专业学位中期考核则进一步加强对实践能力的考核。</w:t>
      </w:r>
    </w:p>
    <w:p w:rsidR="00CA083C" w:rsidRDefault="00771C28">
      <w:pPr>
        <w:pStyle w:val="3"/>
        <w:spacing w:line="560" w:lineRule="exact"/>
        <w:ind w:firstLine="480"/>
        <w:rPr>
          <w:sz w:val="24"/>
          <w:szCs w:val="24"/>
        </w:rPr>
      </w:pPr>
      <w:r>
        <w:rPr>
          <w:rFonts w:hint="eastAsia"/>
          <w:sz w:val="24"/>
          <w:szCs w:val="24"/>
        </w:rPr>
        <w:t xml:space="preserve">4.导师指导 </w:t>
      </w:r>
    </w:p>
    <w:p w:rsidR="00CA083C" w:rsidRDefault="00771C28">
      <w:pPr>
        <w:pStyle w:val="3"/>
        <w:spacing w:line="560" w:lineRule="exact"/>
        <w:ind w:firstLine="480"/>
        <w:rPr>
          <w:rFonts w:ascii="仿宋" w:eastAsia="仿宋" w:hAnsi="仿宋"/>
          <w:sz w:val="24"/>
          <w:szCs w:val="24"/>
        </w:rPr>
      </w:pPr>
      <w:r>
        <w:rPr>
          <w:rFonts w:ascii="仿宋" w:eastAsia="仿宋" w:hAnsi="仿宋"/>
          <w:sz w:val="24"/>
          <w:szCs w:val="24"/>
        </w:rPr>
        <w:t>导师管理全面贯彻党的教育方针，把立德树人作为研究生导师的首要职责，落实导师是研究生培养第一责任人的要求</w:t>
      </w:r>
      <w:r>
        <w:rPr>
          <w:rFonts w:ascii="仿宋" w:eastAsia="仿宋" w:hAnsi="仿宋" w:hint="eastAsia"/>
          <w:sz w:val="24"/>
          <w:szCs w:val="24"/>
        </w:rPr>
        <w:t>。严格按照</w:t>
      </w:r>
      <w:r>
        <w:rPr>
          <w:rFonts w:ascii="仿宋" w:eastAsia="仿宋" w:hAnsi="仿宋"/>
          <w:sz w:val="24"/>
          <w:szCs w:val="24"/>
        </w:rPr>
        <w:t>《暨南大学研究生指导教师岗位管理办法（试行）》对导师队伍</w:t>
      </w:r>
      <w:r>
        <w:rPr>
          <w:rFonts w:ascii="仿宋" w:eastAsia="仿宋" w:hAnsi="仿宋" w:hint="eastAsia"/>
          <w:sz w:val="24"/>
          <w:szCs w:val="24"/>
        </w:rPr>
        <w:t>进行</w:t>
      </w:r>
      <w:r>
        <w:rPr>
          <w:rFonts w:ascii="仿宋" w:eastAsia="仿宋" w:hAnsi="仿宋"/>
          <w:sz w:val="24"/>
          <w:szCs w:val="24"/>
        </w:rPr>
        <w:t>选聘、培训、考核，</w:t>
      </w:r>
      <w:r>
        <w:rPr>
          <w:rFonts w:ascii="仿宋" w:eastAsia="仿宋" w:hAnsi="仿宋" w:hint="eastAsia"/>
          <w:sz w:val="24"/>
          <w:szCs w:val="24"/>
        </w:rPr>
        <w:t>对</w:t>
      </w:r>
      <w:r>
        <w:rPr>
          <w:rFonts w:ascii="仿宋" w:eastAsia="仿宋" w:hAnsi="仿宋"/>
          <w:sz w:val="24"/>
          <w:szCs w:val="24"/>
        </w:rPr>
        <w:t>导师指导研究生的制度要求和执行进行明确规定。强化研究生导师基本素质要求，制定了导师选聘的基本条件与要求，遴选政治素质过硬，师德师风高尚，业务素质精湛，能教书育人，为人师表，团结协作的导师队伍，明确研究生导师立德树人职责。健全研究生导师评价激励机制，实施导师招生岗位审核监督和岗位动态调整与退出机制，加强导师上岗岗前培训制度和合作导师制，加强对新导师的指导和培训，以保证研究生培训质量。</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 xml:space="preserve">学科依托国家级平台聘请了来自美国、澳大利亚、新加坡等高校的一批杰出学者担任特聘教授。其中包括：诺贝尔经济学奖得主，美国芝加哥大学 James Heckman 教授；美国人文与科学院院士 Mark </w:t>
      </w:r>
      <w:proofErr w:type="spellStart"/>
      <w:r>
        <w:rPr>
          <w:rFonts w:ascii="仿宋" w:eastAsia="仿宋" w:hAnsi="仿宋" w:hint="eastAsia"/>
          <w:sz w:val="24"/>
        </w:rPr>
        <w:t>Rosenzweig</w:t>
      </w:r>
      <w:proofErr w:type="spellEnd"/>
      <w:r>
        <w:rPr>
          <w:rFonts w:ascii="仿宋" w:eastAsia="仿宋" w:hAnsi="仿宋" w:hint="eastAsia"/>
          <w:sz w:val="24"/>
        </w:rPr>
        <w:t xml:space="preserve"> 教授；国家高端外专项目入选者、美国俄 </w:t>
      </w:r>
      <w:proofErr w:type="gramStart"/>
      <w:r>
        <w:rPr>
          <w:rFonts w:ascii="仿宋" w:eastAsia="仿宋" w:hAnsi="仿宋" w:hint="eastAsia"/>
          <w:sz w:val="24"/>
        </w:rPr>
        <w:t>亥</w:t>
      </w:r>
      <w:proofErr w:type="gramEnd"/>
      <w:r>
        <w:rPr>
          <w:rFonts w:ascii="仿宋" w:eastAsia="仿宋" w:hAnsi="仿宋" w:hint="eastAsia"/>
          <w:sz w:val="24"/>
        </w:rPr>
        <w:t xml:space="preserve">俄州立大学 Mark Partridge 教授；澳大利亚社会科学院院士、澳大利亚国立大学孟昕教授；国 际顶级期刊 Management Science 副主编 </w:t>
      </w:r>
      <w:proofErr w:type="spellStart"/>
      <w:r>
        <w:rPr>
          <w:rFonts w:ascii="仿宋" w:eastAsia="仿宋" w:hAnsi="仿宋" w:hint="eastAsia"/>
          <w:sz w:val="24"/>
        </w:rPr>
        <w:t>Sumit</w:t>
      </w:r>
      <w:proofErr w:type="spellEnd"/>
      <w:r>
        <w:rPr>
          <w:rFonts w:ascii="仿宋" w:eastAsia="仿宋" w:hAnsi="仿宋" w:hint="eastAsia"/>
          <w:sz w:val="24"/>
        </w:rPr>
        <w:t xml:space="preserve"> </w:t>
      </w:r>
      <w:proofErr w:type="spellStart"/>
      <w:r>
        <w:rPr>
          <w:rFonts w:ascii="仿宋" w:eastAsia="仿宋" w:hAnsi="仿宋" w:hint="eastAsia"/>
          <w:sz w:val="24"/>
        </w:rPr>
        <w:t>Agarwal</w:t>
      </w:r>
      <w:proofErr w:type="spellEnd"/>
      <w:r>
        <w:rPr>
          <w:rFonts w:ascii="仿宋" w:eastAsia="仿宋" w:hAnsi="仿宋" w:hint="eastAsia"/>
          <w:sz w:val="24"/>
        </w:rPr>
        <w:t xml:space="preserve"> 教授、杨立岩教授；顶级期刊 Journal of Economic Literature 主编、美国芝加哥大学 Steven </w:t>
      </w:r>
      <w:proofErr w:type="spellStart"/>
      <w:r>
        <w:rPr>
          <w:rFonts w:ascii="仿宋" w:eastAsia="仿宋" w:hAnsi="仿宋" w:hint="eastAsia"/>
          <w:sz w:val="24"/>
        </w:rPr>
        <w:t>Durlauf</w:t>
      </w:r>
      <w:proofErr w:type="spellEnd"/>
      <w:r>
        <w:rPr>
          <w:rFonts w:ascii="仿宋" w:eastAsia="仿宋" w:hAnsi="仿宋" w:hint="eastAsia"/>
          <w:sz w:val="24"/>
        </w:rPr>
        <w:t xml:space="preserve"> 教授等 30 余人。这些特聘教授与本学位点专职导师共同开展研究生指导工作，在课程教学、学术沙龙、论文撰写与发表乃至学生职业发展规划等方面进行全方位指导。</w:t>
      </w:r>
    </w:p>
    <w:p w:rsidR="00CA083C" w:rsidRDefault="00771C28">
      <w:pPr>
        <w:pStyle w:val="3"/>
        <w:spacing w:line="560" w:lineRule="exact"/>
        <w:ind w:firstLine="480"/>
        <w:rPr>
          <w:sz w:val="24"/>
          <w:szCs w:val="24"/>
        </w:rPr>
      </w:pPr>
      <w:r>
        <w:rPr>
          <w:rFonts w:hint="eastAsia"/>
          <w:sz w:val="24"/>
          <w:szCs w:val="24"/>
        </w:rPr>
        <w:t xml:space="preserve">5.学术交流与训练 </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制度保障和经费支持：依据《暨南大学研究生国际交流与合作管理规定（试行）》和《暨南大学关于资助研究生参加国际学术会议管理规定》，鼓励在校研究生公派出国（境）攻读学位，与国（境）外高校或科研机构进行联合培养、合作科研，出国（境）外参加学术会议或技术培训等。</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长期聘请国内外知名学者为研究生开设讲座和开设短期培训班，鼓励并资助研究生参加“应用微观计量经济学暑期培训班”等暑期培训班和国内外优秀学术论坛等。</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学位点要求导师组建论文研讨小组，每两周开展一次论文研讨会。全体博士研究生每周一次开展“博士学术沙龙”，开展文献学习、工具使用、学术论文发表、学术交流等学习交流。通过举办讲座、沙龙、比赛等形式，积极开展研究生创新创业教育项目（以下称“第二课堂品牌项目”）培育活动，全面推进研究生的创新创业教育项目并给予一定经费资助。</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近五年，学科积极贯彻学校“国际化办学”战略，多次主办、承办国际或全国性学术交流会，包括中国金融学术年会、中国留美经济学会国际学术研讨会、中国青年经济学者论坛等具有较大影响力的经济学学术年会；促进与国（境）外高校、科研机构的学术交流与科研合作，打造国际化人才培养及交流平台，提高研究生的培养质量，规范我校出国留学研究生选拔、派出和管理工作，制定《暨南大学研究生国际交流与合作管理规定（试行）》和《暨南大学关于资助研究生参加国际学术会议管理规定》，以鼓励在校研究生公派出国（境）攻读学位，与国（境）外高校或科研机构进行联合培养、合作科研，出国（境）外参加学术会议或技术培训等。选派90名研究生出国（境）交流访问。</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学科着力打造多个国际学术交流平台，包括“亚洲区域创新与合作论坛（RICA）”（由暨南大学经济学院与日本立命馆大学、韩国釜山大学、泰国国家发展研究院共同主办）和“改革、转型与增长国际论坛（RTG）”（由暨南大学经济学院与俄罗斯国立莫斯科大学、匈牙利布达佩斯考文纽斯大学、塞尔维亚贝尔格莱德亚洲研究中心共同主办）；与英国斯克莱德大学商学院、美国内布拉斯加大学等4所院校签订院级合作备忘录与交流互访协议。学科还开设了经济学系列seminar、金融学系列seminar、区域经济学系列seminar、财贸经济学系列seminar、产业经济学系列seminar以及经济学名师大讲堂。</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注重开拓学生的国际视野，借助高水平大学及学科平台建设经费鼓励与资助师生参加国际、国内学术交流论坛及会议。与美国耶鲁大学、俄亥俄州立大学、新加坡国立大学、法国巴黎第七大学、日本神户商科大学等国外知名高校保持较经常的学术往来。通过“暨南大学讲座教授”方式聘请英国东安格利亚大学、香港中文大学、新加坡国立大学等经济学者与学位点青年教师、博士生开展科研合作。近5年，约120人次的学生赴境外参加国际学术会议或学术交流。</w:t>
      </w:r>
    </w:p>
    <w:p w:rsidR="00CA083C" w:rsidRDefault="00771C28">
      <w:pPr>
        <w:spacing w:line="560" w:lineRule="exact"/>
        <w:ind w:firstLineChars="200" w:firstLine="480"/>
        <w:rPr>
          <w:rFonts w:ascii="黑体" w:eastAsia="黑体" w:hAnsi="黑体"/>
          <w:sz w:val="24"/>
        </w:rPr>
      </w:pPr>
      <w:r>
        <w:rPr>
          <w:rFonts w:ascii="黑体" w:eastAsia="黑体" w:hAnsi="黑体" w:hint="eastAsia"/>
          <w:sz w:val="24"/>
        </w:rPr>
        <w:t xml:space="preserve">6.质量保障 </w:t>
      </w:r>
    </w:p>
    <w:p w:rsidR="00CA083C" w:rsidRDefault="00771C28">
      <w:pPr>
        <w:pStyle w:val="3"/>
        <w:spacing w:line="560" w:lineRule="exact"/>
        <w:ind w:firstLine="480"/>
        <w:rPr>
          <w:rFonts w:ascii="仿宋" w:eastAsia="仿宋" w:hAnsi="仿宋"/>
          <w:sz w:val="24"/>
          <w:szCs w:val="24"/>
        </w:rPr>
      </w:pPr>
      <w:r>
        <w:rPr>
          <w:rFonts w:ascii="仿宋" w:eastAsia="仿宋" w:hAnsi="仿宋"/>
          <w:sz w:val="24"/>
          <w:szCs w:val="24"/>
        </w:rPr>
        <w:t>本学位点建立完善的研究生开题、中期考核、预答辩和论文答辩管理制度和程序。通过在研究生不同培养阶段设置论文开题、中期考核、综合考试、论文预答辩及正式答辩等培养环节</w:t>
      </w:r>
      <w:r>
        <w:rPr>
          <w:rFonts w:ascii="仿宋" w:eastAsia="仿宋" w:hAnsi="仿宋" w:hint="eastAsia"/>
          <w:sz w:val="24"/>
          <w:szCs w:val="24"/>
        </w:rPr>
        <w:t>，</w:t>
      </w:r>
      <w:r>
        <w:rPr>
          <w:rFonts w:ascii="仿宋" w:eastAsia="仿宋" w:hAnsi="仿宋"/>
          <w:sz w:val="24"/>
          <w:szCs w:val="24"/>
        </w:rPr>
        <w:t>对暂时无法完成相应环节或确定不适宜继续培养的研究生采取相应的分流淘汰措施</w:t>
      </w:r>
      <w:r>
        <w:rPr>
          <w:rFonts w:ascii="仿宋" w:eastAsia="仿宋" w:hAnsi="仿宋" w:hint="eastAsia"/>
          <w:sz w:val="24"/>
          <w:szCs w:val="24"/>
        </w:rPr>
        <w:t>。</w:t>
      </w:r>
      <w:r>
        <w:rPr>
          <w:rFonts w:ascii="仿宋" w:eastAsia="仿宋" w:hAnsi="仿宋"/>
          <w:sz w:val="24"/>
          <w:szCs w:val="24"/>
        </w:rPr>
        <w:t>分流淘汰措施的严格执行，在最大限度上保证了研究生的培养质量，同时也对研究生在学期间的每个培养环节进行严格把关，并对研究生整体论文开展进度实施有效督促。</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为保证本学科研究生学位论文质量，学位点与研究生部同时对学位论文层层把关，主要措施包括：（1）对所有博士、硕士学位论文在提交评阅申请前进行学术不端行为检测、全文格式严格审查，对达不到要求者坚决不予送审；</w:t>
      </w:r>
      <w:r>
        <w:rPr>
          <w:rFonts w:ascii="仿宋" w:eastAsia="仿宋" w:hAnsi="仿宋"/>
          <w:sz w:val="24"/>
          <w:szCs w:val="24"/>
        </w:rPr>
        <w:t>对于</w:t>
      </w:r>
      <w:proofErr w:type="gramStart"/>
      <w:r>
        <w:rPr>
          <w:rFonts w:ascii="仿宋" w:eastAsia="仿宋" w:hAnsi="仿宋"/>
          <w:sz w:val="24"/>
          <w:szCs w:val="24"/>
        </w:rPr>
        <w:t>正式查重结果</w:t>
      </w:r>
      <w:proofErr w:type="gramEnd"/>
      <w:r>
        <w:rPr>
          <w:rFonts w:ascii="仿宋" w:eastAsia="仿宋" w:hAnsi="仿宋"/>
          <w:sz w:val="24"/>
          <w:szCs w:val="24"/>
        </w:rPr>
        <w:t>要求博士</w:t>
      </w:r>
      <w:r>
        <w:rPr>
          <w:rFonts w:ascii="仿宋" w:eastAsia="仿宋" w:hAnsi="仿宋" w:hint="eastAsia"/>
          <w:sz w:val="24"/>
          <w:szCs w:val="24"/>
        </w:rPr>
        <w:t>学位论文</w:t>
      </w:r>
      <w:r>
        <w:rPr>
          <w:rFonts w:ascii="仿宋" w:eastAsia="仿宋" w:hAnsi="仿宋"/>
          <w:sz w:val="24"/>
          <w:szCs w:val="24"/>
        </w:rPr>
        <w:t>≤10%，硕士</w:t>
      </w:r>
      <w:r>
        <w:rPr>
          <w:rFonts w:ascii="仿宋" w:eastAsia="仿宋" w:hAnsi="仿宋" w:hint="eastAsia"/>
          <w:sz w:val="24"/>
          <w:szCs w:val="24"/>
        </w:rPr>
        <w:t>学位论文</w:t>
      </w:r>
      <w:r>
        <w:rPr>
          <w:rFonts w:ascii="仿宋" w:eastAsia="仿宋" w:hAnsi="仿宋"/>
          <w:sz w:val="24"/>
          <w:szCs w:val="24"/>
        </w:rPr>
        <w:t>≤20%，均比学校研究生院要求的结果要低10个百分点</w:t>
      </w:r>
      <w:r>
        <w:rPr>
          <w:rFonts w:ascii="仿宋" w:eastAsia="仿宋" w:hAnsi="仿宋" w:hint="eastAsia"/>
          <w:sz w:val="24"/>
          <w:szCs w:val="24"/>
        </w:rPr>
        <w:t>；（2）实行预答辩（审查）和双盲评审制度，对博士论文盲评严格要求，评阅有1票不通过的，博士生本人可对评阅意见提出申诉，分委会审核通过的将组织校外3名正高同行专家对申诉材料进行评议，评议通过后方能补送论文盲评；（3）对学位论文答辩是否通过，进行无记名投票表决，还需对是否同意毕业进行投票，答辩委员会的整体表决结论是答辩通过方同意毕业。本学位点授予学位100%通过国家、省的学位论文抽检。</w:t>
      </w:r>
    </w:p>
    <w:p w:rsidR="00CA083C" w:rsidRDefault="00771C28">
      <w:pPr>
        <w:spacing w:line="560" w:lineRule="exact"/>
        <w:ind w:firstLineChars="200" w:firstLine="480"/>
        <w:rPr>
          <w:rFonts w:ascii="黑体" w:eastAsia="黑体" w:hAnsi="黑体"/>
          <w:sz w:val="24"/>
        </w:rPr>
      </w:pPr>
      <w:r>
        <w:rPr>
          <w:rFonts w:ascii="黑体" w:eastAsia="黑体" w:hAnsi="黑体" w:hint="eastAsia"/>
          <w:sz w:val="24"/>
        </w:rPr>
        <w:t xml:space="preserve">7.学风建设 </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 xml:space="preserve">加强研究生科学道德和学术规范教育建设工作，制定了《暨南大学关于研究生学位论文学术不端行为预防及处理暂行办法》，对属于学术不端行为进行处理。从新生入学开始，就通过开展科学道德和学术规范方面的宣讲会议、专题讲座进行教育，并在研究生培养体制机制上进行完善，通过毕业论文开题、中期检查、毕业论文预审查、多次论文查重和论文抽查等方式确保研究生论文质量，及时避免学术不端行为出现。在博士生和硕士生中全面开设《学术规范与论文撰写》必修课程，切实提升研究生科学道德和学术规范意识。 </w:t>
      </w:r>
    </w:p>
    <w:p w:rsidR="00CA083C" w:rsidRDefault="00771C28">
      <w:pPr>
        <w:spacing w:line="560" w:lineRule="exact"/>
        <w:ind w:firstLineChars="200" w:firstLine="480"/>
        <w:rPr>
          <w:rFonts w:ascii="黑体" w:eastAsia="黑体" w:hAnsi="黑体"/>
          <w:sz w:val="24"/>
        </w:rPr>
      </w:pPr>
      <w:r>
        <w:rPr>
          <w:rFonts w:ascii="黑体" w:eastAsia="黑体" w:hAnsi="黑体" w:hint="eastAsia"/>
          <w:sz w:val="24"/>
        </w:rPr>
        <w:t xml:space="preserve">8.就业发展 </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本学位点</w:t>
      </w:r>
      <w:bookmarkStart w:id="2" w:name="_Hlk88644022"/>
      <w:r>
        <w:rPr>
          <w:rFonts w:ascii="仿宋" w:eastAsia="仿宋" w:hAnsi="仿宋" w:hint="eastAsia"/>
          <w:sz w:val="24"/>
          <w:szCs w:val="24"/>
        </w:rPr>
        <w:t>2017—</w:t>
      </w:r>
      <w:r>
        <w:rPr>
          <w:rFonts w:ascii="仿宋" w:eastAsia="仿宋" w:hAnsi="仿宋"/>
          <w:sz w:val="24"/>
          <w:szCs w:val="24"/>
        </w:rPr>
        <w:t>202</w:t>
      </w:r>
      <w:r>
        <w:rPr>
          <w:rFonts w:ascii="仿宋" w:eastAsia="仿宋" w:hAnsi="仿宋" w:hint="eastAsia"/>
          <w:sz w:val="24"/>
          <w:szCs w:val="24"/>
        </w:rPr>
        <w:t>1</w:t>
      </w:r>
      <w:r>
        <w:rPr>
          <w:rFonts w:ascii="仿宋" w:eastAsia="仿宋" w:hAnsi="仿宋"/>
          <w:sz w:val="24"/>
          <w:szCs w:val="24"/>
        </w:rPr>
        <w:t>届研究生毕业生</w:t>
      </w:r>
      <w:bookmarkEnd w:id="2"/>
      <w:r>
        <w:rPr>
          <w:rFonts w:ascii="仿宋" w:eastAsia="仿宋" w:hAnsi="仿宋" w:hint="eastAsia"/>
          <w:sz w:val="24"/>
          <w:szCs w:val="24"/>
        </w:rPr>
        <w:t>共1043</w:t>
      </w:r>
      <w:r>
        <w:rPr>
          <w:rFonts w:ascii="仿宋" w:eastAsia="仿宋" w:hAnsi="仿宋"/>
          <w:sz w:val="24"/>
          <w:szCs w:val="24"/>
        </w:rPr>
        <w:t>人</w:t>
      </w:r>
      <w:r>
        <w:fldChar w:fldCharType="begin"/>
      </w:r>
      <w:r>
        <w:instrText xml:space="preserve"> HYPERLINK \h </w:instrText>
      </w:r>
      <w:r>
        <w:fldChar w:fldCharType="separate"/>
      </w:r>
      <w:r>
        <w:rPr>
          <w:rFonts w:ascii="仿宋" w:eastAsia="仿宋" w:hAnsi="仿宋"/>
          <w:sz w:val="24"/>
          <w:szCs w:val="24"/>
        </w:rPr>
        <w:t>，</w:t>
      </w:r>
      <w:r>
        <w:rPr>
          <w:rFonts w:ascii="仿宋" w:eastAsia="仿宋" w:hAnsi="仿宋"/>
          <w:sz w:val="24"/>
          <w:szCs w:val="24"/>
        </w:rPr>
        <w:fldChar w:fldCharType="end"/>
      </w:r>
      <w:r>
        <w:rPr>
          <w:rFonts w:ascii="仿宋" w:eastAsia="仿宋" w:hAnsi="仿宋" w:hint="eastAsia"/>
          <w:sz w:val="24"/>
          <w:szCs w:val="24"/>
        </w:rPr>
        <w:t>其中</w:t>
      </w:r>
      <w:r>
        <w:rPr>
          <w:rFonts w:ascii="仿宋" w:eastAsia="仿宋" w:hAnsi="仿宋"/>
          <w:sz w:val="24"/>
          <w:szCs w:val="24"/>
        </w:rPr>
        <w:t>硕士</w:t>
      </w:r>
      <w:r>
        <w:rPr>
          <w:rFonts w:ascii="仿宋" w:eastAsia="仿宋" w:hAnsi="仿宋" w:hint="eastAsia"/>
          <w:sz w:val="24"/>
          <w:szCs w:val="24"/>
        </w:rPr>
        <w:t>毕业生</w:t>
      </w:r>
      <w:r>
        <w:rPr>
          <w:rFonts w:ascii="仿宋" w:eastAsia="仿宋" w:hAnsi="仿宋"/>
          <w:sz w:val="24"/>
          <w:szCs w:val="24"/>
        </w:rPr>
        <w:t>410人</w:t>
      </w:r>
      <w:r>
        <w:rPr>
          <w:rFonts w:ascii="仿宋" w:eastAsia="仿宋" w:hAnsi="仿宋" w:hint="eastAsia"/>
          <w:sz w:val="24"/>
          <w:szCs w:val="24"/>
        </w:rPr>
        <w:t>，签订就业协议810人，升学深造45人；</w:t>
      </w:r>
      <w:r>
        <w:rPr>
          <w:rFonts w:ascii="仿宋" w:eastAsia="仿宋" w:hAnsi="仿宋"/>
          <w:sz w:val="24"/>
          <w:szCs w:val="24"/>
        </w:rPr>
        <w:t>博士</w:t>
      </w:r>
      <w:r>
        <w:rPr>
          <w:rFonts w:ascii="仿宋" w:eastAsia="仿宋" w:hAnsi="仿宋" w:hint="eastAsia"/>
          <w:sz w:val="24"/>
          <w:szCs w:val="24"/>
        </w:rPr>
        <w:t>毕业</w:t>
      </w:r>
      <w:r>
        <w:rPr>
          <w:rFonts w:ascii="仿宋" w:eastAsia="仿宋" w:hAnsi="仿宋"/>
          <w:sz w:val="24"/>
          <w:szCs w:val="24"/>
        </w:rPr>
        <w:t>生</w:t>
      </w:r>
      <w:r>
        <w:rPr>
          <w:rFonts w:ascii="仿宋" w:eastAsia="仿宋" w:hAnsi="仿宋" w:hint="eastAsia"/>
          <w:sz w:val="24"/>
          <w:szCs w:val="24"/>
        </w:rPr>
        <w:t>156</w:t>
      </w:r>
      <w:r>
        <w:rPr>
          <w:rFonts w:ascii="仿宋" w:eastAsia="仿宋" w:hAnsi="仿宋"/>
          <w:sz w:val="24"/>
          <w:szCs w:val="24"/>
        </w:rPr>
        <w:t>人</w:t>
      </w:r>
      <w:r>
        <w:fldChar w:fldCharType="begin"/>
      </w:r>
      <w:r>
        <w:instrText xml:space="preserve"> HYPERLINK \h </w:instrText>
      </w:r>
      <w:r>
        <w:fldChar w:fldCharType="separate"/>
      </w:r>
      <w:r>
        <w:rPr>
          <w:rFonts w:ascii="仿宋" w:eastAsia="仿宋" w:hAnsi="仿宋"/>
          <w:sz w:val="24"/>
          <w:szCs w:val="24"/>
        </w:rPr>
        <w:t>，</w:t>
      </w:r>
      <w:r>
        <w:rPr>
          <w:rFonts w:ascii="仿宋" w:eastAsia="仿宋" w:hAnsi="仿宋" w:hint="eastAsia"/>
          <w:sz w:val="24"/>
          <w:szCs w:val="24"/>
        </w:rPr>
        <w:t>签订就业协议150人。具体就业情况统计汇总如下：</w:t>
      </w:r>
      <w:r>
        <w:rPr>
          <w:rFonts w:ascii="仿宋" w:eastAsia="仿宋" w:hAnsi="仿宋"/>
          <w:sz w:val="24"/>
          <w:szCs w:val="24"/>
        </w:rPr>
        <w:fldChar w:fldCharType="end"/>
      </w:r>
    </w:p>
    <w:p w:rsidR="00CA083C" w:rsidRDefault="00771C28">
      <w:pPr>
        <w:pStyle w:val="3"/>
        <w:spacing w:line="560" w:lineRule="exact"/>
        <w:ind w:firstLine="482"/>
        <w:jc w:val="center"/>
        <w:rPr>
          <w:rFonts w:ascii="微软雅黑" w:eastAsia="微软雅黑" w:hAnsi="微软雅黑"/>
          <w:sz w:val="21"/>
          <w:szCs w:val="21"/>
        </w:rPr>
      </w:pPr>
      <w:r>
        <w:rPr>
          <w:rFonts w:ascii="宋体" w:eastAsia="宋体" w:hAnsi="宋体" w:hint="eastAsia"/>
          <w:b/>
          <w:bCs/>
          <w:sz w:val="24"/>
          <w:szCs w:val="24"/>
        </w:rPr>
        <w:t>2017—2021届研究生毕业生整体就业情况</w:t>
      </w:r>
    </w:p>
    <w:p w:rsidR="00CA083C" w:rsidRDefault="00771C28">
      <w:pPr>
        <w:spacing w:line="560" w:lineRule="exact"/>
        <w:rPr>
          <w:rFonts w:ascii="等线" w:eastAsia="等线" w:hAnsi="等线"/>
          <w:b/>
          <w:bCs/>
          <w:color w:val="000000"/>
          <w:szCs w:val="21"/>
        </w:rPr>
      </w:pPr>
      <w:r>
        <w:rPr>
          <w:rFonts w:ascii="宋体" w:eastAsia="宋体" w:hAnsi="宋体"/>
          <w:b/>
          <w:bCs/>
          <w:color w:val="000000"/>
          <w:sz w:val="21"/>
          <w:szCs w:val="21"/>
        </w:rPr>
        <w:t xml:space="preserve">表1 </w:t>
      </w:r>
      <w:r>
        <w:rPr>
          <w:rFonts w:ascii="宋体" w:eastAsia="宋体" w:hAnsi="宋体" w:hint="eastAsia"/>
          <w:b/>
          <w:bCs/>
          <w:color w:val="000000"/>
          <w:sz w:val="21"/>
          <w:szCs w:val="21"/>
        </w:rPr>
        <w:t>就业情况统计</w:t>
      </w:r>
    </w:p>
    <w:tbl>
      <w:tblPr>
        <w:tblW w:w="10420" w:type="dxa"/>
        <w:jc w:val="center"/>
        <w:tblLook w:val="04A0" w:firstRow="1" w:lastRow="0" w:firstColumn="1" w:lastColumn="0" w:noHBand="0" w:noVBand="1"/>
      </w:tblPr>
      <w:tblGrid>
        <w:gridCol w:w="1080"/>
        <w:gridCol w:w="1080"/>
        <w:gridCol w:w="1080"/>
        <w:gridCol w:w="1320"/>
        <w:gridCol w:w="1080"/>
        <w:gridCol w:w="1080"/>
        <w:gridCol w:w="1080"/>
        <w:gridCol w:w="1080"/>
        <w:gridCol w:w="1540"/>
      </w:tblGrid>
      <w:tr w:rsidR="00CA083C">
        <w:trPr>
          <w:trHeight w:val="450"/>
          <w:jc w:val="center"/>
        </w:trPr>
        <w:tc>
          <w:tcPr>
            <w:tcW w:w="1080" w:type="dxa"/>
            <w:vMerge w:val="restart"/>
            <w:tcBorders>
              <w:top w:val="single" w:sz="12" w:space="0" w:color="000000"/>
              <w:left w:val="single" w:sz="12" w:space="0" w:color="000000"/>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年度</w:t>
            </w:r>
          </w:p>
        </w:tc>
        <w:tc>
          <w:tcPr>
            <w:tcW w:w="1080" w:type="dxa"/>
            <w:vMerge w:val="restart"/>
            <w:tcBorders>
              <w:top w:val="single" w:sz="12" w:space="0" w:color="000000"/>
              <w:left w:val="single" w:sz="8" w:space="0" w:color="000000"/>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学生类型</w:t>
            </w:r>
          </w:p>
        </w:tc>
        <w:tc>
          <w:tcPr>
            <w:tcW w:w="1080" w:type="dxa"/>
            <w:vMerge w:val="restart"/>
            <w:tcBorders>
              <w:top w:val="single" w:sz="12" w:space="0" w:color="000000"/>
              <w:left w:val="single" w:sz="8" w:space="0" w:color="000000"/>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毕业生总数</w:t>
            </w:r>
          </w:p>
        </w:tc>
        <w:tc>
          <w:tcPr>
            <w:tcW w:w="5640" w:type="dxa"/>
            <w:gridSpan w:val="5"/>
            <w:tcBorders>
              <w:top w:val="single" w:sz="12" w:space="0" w:color="000000"/>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就业情况</w:t>
            </w:r>
          </w:p>
        </w:tc>
        <w:tc>
          <w:tcPr>
            <w:tcW w:w="1540" w:type="dxa"/>
            <w:vMerge w:val="restart"/>
            <w:tcBorders>
              <w:top w:val="single" w:sz="12" w:space="0" w:color="000000"/>
              <w:left w:val="single" w:sz="8" w:space="0" w:color="000000"/>
              <w:bottom w:val="single" w:sz="8" w:space="0" w:color="000000"/>
              <w:right w:val="single" w:sz="12"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就业人数及就业率</w:t>
            </w:r>
          </w:p>
        </w:tc>
      </w:tr>
      <w:tr w:rsidR="00CA083C">
        <w:trPr>
          <w:trHeight w:val="390"/>
          <w:jc w:val="center"/>
        </w:trPr>
        <w:tc>
          <w:tcPr>
            <w:tcW w:w="1080" w:type="dxa"/>
            <w:vMerge/>
            <w:tcBorders>
              <w:top w:val="single" w:sz="8" w:space="0" w:color="000000"/>
              <w:left w:val="single" w:sz="12" w:space="0" w:color="000000"/>
              <w:bottom w:val="single" w:sz="8" w:space="0" w:color="000000"/>
              <w:right w:val="single" w:sz="8" w:space="0" w:color="000000"/>
            </w:tcBorders>
            <w:vAlign w:val="center"/>
          </w:tcPr>
          <w:p w:rsidR="00CA083C" w:rsidRDefault="00CA083C">
            <w:pPr>
              <w:widowControl/>
              <w:spacing w:line="560" w:lineRule="exact"/>
              <w:jc w:val="left"/>
              <w:rPr>
                <w:rFonts w:ascii="仿宋_GB2312" w:eastAsia="仿宋_GB2312" w:hAnsi="等线" w:cs="宋体"/>
                <w:b/>
                <w:bCs/>
                <w:color w:val="000000"/>
                <w:kern w:val="0"/>
                <w:sz w:val="21"/>
                <w:szCs w:val="21"/>
              </w:rPr>
            </w:pPr>
          </w:p>
        </w:tc>
        <w:tc>
          <w:tcPr>
            <w:tcW w:w="1080" w:type="dxa"/>
            <w:vMerge/>
            <w:tcBorders>
              <w:top w:val="single" w:sz="8" w:space="0" w:color="000000"/>
              <w:left w:val="single" w:sz="8" w:space="0" w:color="000000"/>
              <w:bottom w:val="single" w:sz="8" w:space="0" w:color="000000"/>
              <w:right w:val="single" w:sz="8" w:space="0" w:color="000000"/>
            </w:tcBorders>
            <w:vAlign w:val="center"/>
          </w:tcPr>
          <w:p w:rsidR="00CA083C" w:rsidRDefault="00CA083C">
            <w:pPr>
              <w:widowControl/>
              <w:spacing w:line="560" w:lineRule="exact"/>
              <w:jc w:val="left"/>
              <w:rPr>
                <w:rFonts w:ascii="仿宋_GB2312" w:eastAsia="仿宋_GB2312" w:hAnsi="等线" w:cs="宋体"/>
                <w:b/>
                <w:bCs/>
                <w:color w:val="000000"/>
                <w:kern w:val="0"/>
                <w:sz w:val="21"/>
                <w:szCs w:val="21"/>
              </w:rPr>
            </w:pPr>
          </w:p>
        </w:tc>
        <w:tc>
          <w:tcPr>
            <w:tcW w:w="1080" w:type="dxa"/>
            <w:vMerge/>
            <w:tcBorders>
              <w:top w:val="single" w:sz="8" w:space="0" w:color="000000"/>
              <w:left w:val="single" w:sz="8" w:space="0" w:color="000000"/>
              <w:bottom w:val="single" w:sz="8" w:space="0" w:color="000000"/>
              <w:right w:val="single" w:sz="8" w:space="0" w:color="000000"/>
            </w:tcBorders>
            <w:vAlign w:val="center"/>
          </w:tcPr>
          <w:p w:rsidR="00CA083C" w:rsidRDefault="00CA083C">
            <w:pPr>
              <w:widowControl/>
              <w:spacing w:line="560" w:lineRule="exact"/>
              <w:jc w:val="left"/>
              <w:rPr>
                <w:rFonts w:ascii="仿宋_GB2312" w:eastAsia="仿宋_GB2312" w:hAnsi="等线" w:cs="宋体"/>
                <w:b/>
                <w:bCs/>
                <w:color w:val="000000"/>
                <w:kern w:val="0"/>
                <w:sz w:val="21"/>
                <w:szCs w:val="21"/>
              </w:rPr>
            </w:pPr>
          </w:p>
        </w:tc>
        <w:tc>
          <w:tcPr>
            <w:tcW w:w="1320" w:type="dxa"/>
            <w:vMerge w:val="restart"/>
            <w:tcBorders>
              <w:top w:val="nil"/>
              <w:left w:val="single" w:sz="8" w:space="0" w:color="000000"/>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协议和合同</w:t>
            </w:r>
            <w:r>
              <w:rPr>
                <w:rFonts w:ascii="仿宋_GB2312" w:eastAsia="仿宋_GB2312" w:hAnsi="等线" w:cs="宋体" w:hint="eastAsia"/>
                <w:b/>
                <w:bCs/>
                <w:color w:val="000000"/>
                <w:kern w:val="0"/>
                <w:sz w:val="21"/>
                <w:szCs w:val="21"/>
              </w:rPr>
              <w:br/>
              <w:t>就业</w:t>
            </w:r>
          </w:p>
        </w:tc>
        <w:tc>
          <w:tcPr>
            <w:tcW w:w="1080" w:type="dxa"/>
            <w:vMerge w:val="restart"/>
            <w:tcBorders>
              <w:top w:val="nil"/>
              <w:left w:val="single" w:sz="8" w:space="0" w:color="000000"/>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自主创业</w:t>
            </w:r>
          </w:p>
        </w:tc>
        <w:tc>
          <w:tcPr>
            <w:tcW w:w="1080" w:type="dxa"/>
            <w:vMerge w:val="restart"/>
            <w:tcBorders>
              <w:top w:val="nil"/>
              <w:left w:val="single" w:sz="8" w:space="0" w:color="000000"/>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灵活就业</w:t>
            </w:r>
          </w:p>
        </w:tc>
        <w:tc>
          <w:tcPr>
            <w:tcW w:w="2160" w:type="dxa"/>
            <w:gridSpan w:val="2"/>
            <w:tcBorders>
              <w:top w:val="single" w:sz="8" w:space="0" w:color="000000"/>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升学</w:t>
            </w:r>
          </w:p>
        </w:tc>
        <w:tc>
          <w:tcPr>
            <w:tcW w:w="1540" w:type="dxa"/>
            <w:vMerge/>
            <w:tcBorders>
              <w:top w:val="single" w:sz="8" w:space="0" w:color="000000"/>
              <w:left w:val="single" w:sz="8" w:space="0" w:color="000000"/>
              <w:bottom w:val="single" w:sz="8" w:space="0" w:color="000000"/>
              <w:right w:val="single" w:sz="12" w:space="0" w:color="000000"/>
            </w:tcBorders>
            <w:vAlign w:val="center"/>
          </w:tcPr>
          <w:p w:rsidR="00CA083C" w:rsidRDefault="00CA083C">
            <w:pPr>
              <w:widowControl/>
              <w:spacing w:line="560" w:lineRule="exact"/>
              <w:jc w:val="left"/>
              <w:rPr>
                <w:rFonts w:ascii="仿宋_GB2312" w:eastAsia="仿宋_GB2312" w:hAnsi="等线" w:cs="宋体"/>
                <w:b/>
                <w:bCs/>
                <w:color w:val="000000"/>
                <w:kern w:val="0"/>
                <w:sz w:val="21"/>
                <w:szCs w:val="21"/>
              </w:rPr>
            </w:pPr>
          </w:p>
        </w:tc>
      </w:tr>
      <w:tr w:rsidR="00CA083C">
        <w:trPr>
          <w:trHeight w:val="300"/>
          <w:jc w:val="center"/>
        </w:trPr>
        <w:tc>
          <w:tcPr>
            <w:tcW w:w="1080" w:type="dxa"/>
            <w:vMerge/>
            <w:tcBorders>
              <w:top w:val="single" w:sz="8" w:space="0" w:color="000000"/>
              <w:left w:val="single" w:sz="12" w:space="0" w:color="000000"/>
              <w:bottom w:val="single" w:sz="8" w:space="0" w:color="000000"/>
              <w:right w:val="single" w:sz="8" w:space="0" w:color="000000"/>
            </w:tcBorders>
            <w:vAlign w:val="center"/>
          </w:tcPr>
          <w:p w:rsidR="00CA083C" w:rsidRDefault="00CA083C">
            <w:pPr>
              <w:widowControl/>
              <w:spacing w:line="560" w:lineRule="exact"/>
              <w:jc w:val="left"/>
              <w:rPr>
                <w:rFonts w:ascii="仿宋_GB2312" w:eastAsia="仿宋_GB2312" w:hAnsi="等线" w:cs="宋体"/>
                <w:b/>
                <w:bCs/>
                <w:color w:val="000000"/>
                <w:kern w:val="0"/>
                <w:sz w:val="21"/>
                <w:szCs w:val="21"/>
              </w:rPr>
            </w:pPr>
          </w:p>
        </w:tc>
        <w:tc>
          <w:tcPr>
            <w:tcW w:w="1080" w:type="dxa"/>
            <w:vMerge/>
            <w:tcBorders>
              <w:top w:val="single" w:sz="8" w:space="0" w:color="000000"/>
              <w:left w:val="single" w:sz="8" w:space="0" w:color="000000"/>
              <w:bottom w:val="single" w:sz="8" w:space="0" w:color="000000"/>
              <w:right w:val="single" w:sz="8" w:space="0" w:color="000000"/>
            </w:tcBorders>
            <w:vAlign w:val="center"/>
          </w:tcPr>
          <w:p w:rsidR="00CA083C" w:rsidRDefault="00CA083C">
            <w:pPr>
              <w:widowControl/>
              <w:spacing w:line="560" w:lineRule="exact"/>
              <w:jc w:val="left"/>
              <w:rPr>
                <w:rFonts w:ascii="仿宋_GB2312" w:eastAsia="仿宋_GB2312" w:hAnsi="等线" w:cs="宋体"/>
                <w:b/>
                <w:bCs/>
                <w:color w:val="000000"/>
                <w:kern w:val="0"/>
                <w:sz w:val="21"/>
                <w:szCs w:val="21"/>
              </w:rPr>
            </w:pPr>
          </w:p>
        </w:tc>
        <w:tc>
          <w:tcPr>
            <w:tcW w:w="1080" w:type="dxa"/>
            <w:vMerge/>
            <w:tcBorders>
              <w:top w:val="single" w:sz="8" w:space="0" w:color="000000"/>
              <w:left w:val="single" w:sz="8" w:space="0" w:color="000000"/>
              <w:bottom w:val="single" w:sz="8" w:space="0" w:color="000000"/>
              <w:right w:val="single" w:sz="8" w:space="0" w:color="000000"/>
            </w:tcBorders>
            <w:vAlign w:val="center"/>
          </w:tcPr>
          <w:p w:rsidR="00CA083C" w:rsidRDefault="00CA083C">
            <w:pPr>
              <w:widowControl/>
              <w:spacing w:line="560" w:lineRule="exact"/>
              <w:jc w:val="left"/>
              <w:rPr>
                <w:rFonts w:ascii="仿宋_GB2312" w:eastAsia="仿宋_GB2312" w:hAnsi="等线" w:cs="宋体"/>
                <w:b/>
                <w:bCs/>
                <w:color w:val="000000"/>
                <w:kern w:val="0"/>
                <w:sz w:val="21"/>
                <w:szCs w:val="21"/>
              </w:rPr>
            </w:pPr>
          </w:p>
        </w:tc>
        <w:tc>
          <w:tcPr>
            <w:tcW w:w="1320" w:type="dxa"/>
            <w:vMerge/>
            <w:tcBorders>
              <w:top w:val="nil"/>
              <w:left w:val="single" w:sz="8" w:space="0" w:color="000000"/>
              <w:bottom w:val="single" w:sz="8" w:space="0" w:color="000000"/>
              <w:right w:val="single" w:sz="8" w:space="0" w:color="000000"/>
            </w:tcBorders>
            <w:vAlign w:val="center"/>
          </w:tcPr>
          <w:p w:rsidR="00CA083C" w:rsidRDefault="00CA083C">
            <w:pPr>
              <w:widowControl/>
              <w:spacing w:line="560" w:lineRule="exact"/>
              <w:jc w:val="left"/>
              <w:rPr>
                <w:rFonts w:ascii="仿宋_GB2312" w:eastAsia="仿宋_GB2312" w:hAnsi="等线" w:cs="宋体"/>
                <w:b/>
                <w:bCs/>
                <w:color w:val="000000"/>
                <w:kern w:val="0"/>
                <w:sz w:val="21"/>
                <w:szCs w:val="21"/>
              </w:rPr>
            </w:pPr>
          </w:p>
        </w:tc>
        <w:tc>
          <w:tcPr>
            <w:tcW w:w="1080" w:type="dxa"/>
            <w:vMerge/>
            <w:tcBorders>
              <w:top w:val="nil"/>
              <w:left w:val="single" w:sz="8" w:space="0" w:color="000000"/>
              <w:bottom w:val="single" w:sz="8" w:space="0" w:color="000000"/>
              <w:right w:val="single" w:sz="8" w:space="0" w:color="000000"/>
            </w:tcBorders>
            <w:vAlign w:val="center"/>
          </w:tcPr>
          <w:p w:rsidR="00CA083C" w:rsidRDefault="00CA083C">
            <w:pPr>
              <w:widowControl/>
              <w:spacing w:line="560" w:lineRule="exact"/>
              <w:jc w:val="left"/>
              <w:rPr>
                <w:rFonts w:ascii="仿宋_GB2312" w:eastAsia="仿宋_GB2312" w:hAnsi="等线" w:cs="宋体"/>
                <w:b/>
                <w:bCs/>
                <w:color w:val="000000"/>
                <w:kern w:val="0"/>
                <w:sz w:val="21"/>
                <w:szCs w:val="21"/>
              </w:rPr>
            </w:pPr>
          </w:p>
        </w:tc>
        <w:tc>
          <w:tcPr>
            <w:tcW w:w="1080" w:type="dxa"/>
            <w:vMerge/>
            <w:tcBorders>
              <w:top w:val="nil"/>
              <w:left w:val="single" w:sz="8" w:space="0" w:color="000000"/>
              <w:bottom w:val="single" w:sz="8" w:space="0" w:color="000000"/>
              <w:right w:val="single" w:sz="8" w:space="0" w:color="000000"/>
            </w:tcBorders>
            <w:vAlign w:val="center"/>
          </w:tcPr>
          <w:p w:rsidR="00CA083C" w:rsidRDefault="00CA083C">
            <w:pPr>
              <w:widowControl/>
              <w:spacing w:line="560" w:lineRule="exact"/>
              <w:jc w:val="left"/>
              <w:rPr>
                <w:rFonts w:ascii="仿宋_GB2312" w:eastAsia="仿宋_GB2312" w:hAnsi="等线" w:cs="宋体"/>
                <w:b/>
                <w:bCs/>
                <w:color w:val="000000"/>
                <w:kern w:val="0"/>
                <w:sz w:val="21"/>
                <w:szCs w:val="21"/>
              </w:rPr>
            </w:pP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境内</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1"/>
                <w:szCs w:val="21"/>
              </w:rPr>
            </w:pPr>
            <w:r>
              <w:rPr>
                <w:rFonts w:ascii="仿宋_GB2312" w:eastAsia="仿宋_GB2312" w:hAnsi="等线" w:cs="宋体" w:hint="eastAsia"/>
                <w:b/>
                <w:bCs/>
                <w:color w:val="000000"/>
                <w:kern w:val="0"/>
                <w:sz w:val="21"/>
                <w:szCs w:val="21"/>
              </w:rPr>
              <w:t>境外</w:t>
            </w:r>
          </w:p>
        </w:tc>
        <w:tc>
          <w:tcPr>
            <w:tcW w:w="1540" w:type="dxa"/>
            <w:vMerge/>
            <w:tcBorders>
              <w:top w:val="single" w:sz="8" w:space="0" w:color="000000"/>
              <w:left w:val="single" w:sz="8" w:space="0" w:color="000000"/>
              <w:bottom w:val="single" w:sz="8" w:space="0" w:color="000000"/>
              <w:right w:val="single" w:sz="12" w:space="0" w:color="000000"/>
            </w:tcBorders>
            <w:vAlign w:val="center"/>
          </w:tcPr>
          <w:p w:rsidR="00CA083C" w:rsidRDefault="00CA083C">
            <w:pPr>
              <w:widowControl/>
              <w:spacing w:line="560" w:lineRule="exact"/>
              <w:jc w:val="left"/>
              <w:rPr>
                <w:rFonts w:ascii="仿宋_GB2312" w:eastAsia="仿宋_GB2312" w:hAnsi="等线" w:cs="宋体"/>
                <w:b/>
                <w:bCs/>
                <w:color w:val="000000"/>
                <w:kern w:val="0"/>
                <w:sz w:val="21"/>
                <w:szCs w:val="21"/>
              </w:rPr>
            </w:pPr>
          </w:p>
        </w:tc>
      </w:tr>
      <w:tr w:rsidR="00CA083C">
        <w:trPr>
          <w:trHeight w:val="300"/>
          <w:jc w:val="center"/>
        </w:trPr>
        <w:tc>
          <w:tcPr>
            <w:tcW w:w="1080" w:type="dxa"/>
            <w:vMerge w:val="restart"/>
            <w:tcBorders>
              <w:top w:val="nil"/>
              <w:left w:val="single" w:sz="12" w:space="0" w:color="000000"/>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2017</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硕士</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178</w:t>
            </w:r>
          </w:p>
        </w:tc>
        <w:tc>
          <w:tcPr>
            <w:tcW w:w="132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164</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6</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540" w:type="dxa"/>
            <w:tcBorders>
              <w:top w:val="nil"/>
              <w:left w:val="nil"/>
              <w:bottom w:val="single" w:sz="8" w:space="0" w:color="000000"/>
              <w:right w:val="single" w:sz="12"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170</w:t>
            </w:r>
            <w:r>
              <w:rPr>
                <w:rFonts w:ascii="宋体" w:eastAsia="宋体" w:hAnsi="宋体" w:cs="Times New Roman" w:hint="eastAsia"/>
                <w:color w:val="000000"/>
                <w:kern w:val="0"/>
                <w:sz w:val="21"/>
                <w:szCs w:val="21"/>
              </w:rPr>
              <w:t>（</w:t>
            </w:r>
            <w:r>
              <w:rPr>
                <w:rFonts w:ascii="Times New Roman" w:eastAsia="等线" w:hAnsi="Times New Roman" w:cs="Times New Roman"/>
                <w:color w:val="000000"/>
                <w:kern w:val="0"/>
                <w:sz w:val="21"/>
                <w:szCs w:val="21"/>
              </w:rPr>
              <w:t>95.5%</w:t>
            </w:r>
            <w:r>
              <w:rPr>
                <w:rFonts w:ascii="宋体" w:eastAsia="宋体" w:hAnsi="宋体" w:cs="Times New Roman" w:hint="eastAsia"/>
                <w:color w:val="000000"/>
                <w:kern w:val="0"/>
                <w:sz w:val="21"/>
                <w:szCs w:val="21"/>
              </w:rPr>
              <w:t>）</w:t>
            </w:r>
          </w:p>
        </w:tc>
      </w:tr>
      <w:tr w:rsidR="00CA083C">
        <w:trPr>
          <w:trHeight w:val="300"/>
          <w:jc w:val="center"/>
        </w:trPr>
        <w:tc>
          <w:tcPr>
            <w:tcW w:w="1080" w:type="dxa"/>
            <w:vMerge/>
            <w:tcBorders>
              <w:top w:val="nil"/>
              <w:left w:val="single" w:sz="12" w:space="0" w:color="000000"/>
              <w:bottom w:val="single" w:sz="8" w:space="0" w:color="000000"/>
              <w:right w:val="single" w:sz="8" w:space="0" w:color="000000"/>
            </w:tcBorders>
            <w:vAlign w:val="center"/>
          </w:tcPr>
          <w:p w:rsidR="00CA083C" w:rsidRDefault="00CA083C">
            <w:pPr>
              <w:widowControl/>
              <w:spacing w:line="560" w:lineRule="exact"/>
              <w:jc w:val="left"/>
              <w:rPr>
                <w:rFonts w:ascii="Times New Roman" w:eastAsia="等线" w:hAnsi="Times New Roman" w:cs="Times New Roman"/>
                <w:color w:val="000000"/>
                <w:kern w:val="0"/>
                <w:sz w:val="21"/>
                <w:szCs w:val="21"/>
              </w:rPr>
            </w:pP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博士</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29</w:t>
            </w:r>
          </w:p>
        </w:tc>
        <w:tc>
          <w:tcPr>
            <w:tcW w:w="132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26</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CA083C">
            <w:pPr>
              <w:widowControl/>
              <w:spacing w:line="560" w:lineRule="exact"/>
              <w:jc w:val="center"/>
              <w:rPr>
                <w:rFonts w:ascii="Times New Roman" w:eastAsia="等线" w:hAnsi="Times New Roman" w:cs="Times New Roman"/>
                <w:color w:val="000000"/>
                <w:kern w:val="0"/>
                <w:sz w:val="20"/>
                <w:szCs w:val="20"/>
              </w:rPr>
            </w:pPr>
          </w:p>
        </w:tc>
        <w:tc>
          <w:tcPr>
            <w:tcW w:w="1080" w:type="dxa"/>
            <w:tcBorders>
              <w:top w:val="nil"/>
              <w:left w:val="nil"/>
              <w:bottom w:val="single" w:sz="8" w:space="0" w:color="000000"/>
              <w:right w:val="single" w:sz="8" w:space="0" w:color="000000"/>
            </w:tcBorders>
            <w:shd w:val="clear" w:color="auto" w:fill="auto"/>
            <w:vAlign w:val="center"/>
          </w:tcPr>
          <w:p w:rsidR="00CA083C" w:rsidRDefault="00CA083C">
            <w:pPr>
              <w:widowControl/>
              <w:spacing w:line="560" w:lineRule="exact"/>
              <w:jc w:val="center"/>
              <w:rPr>
                <w:rFonts w:ascii="Times New Roman" w:eastAsia="等线" w:hAnsi="Times New Roman" w:cs="Times New Roman"/>
                <w:color w:val="000000"/>
                <w:kern w:val="0"/>
                <w:sz w:val="20"/>
                <w:szCs w:val="20"/>
              </w:rPr>
            </w:pPr>
          </w:p>
        </w:tc>
        <w:tc>
          <w:tcPr>
            <w:tcW w:w="1540" w:type="dxa"/>
            <w:tcBorders>
              <w:top w:val="nil"/>
              <w:left w:val="nil"/>
              <w:bottom w:val="single" w:sz="8" w:space="0" w:color="000000"/>
              <w:right w:val="single" w:sz="12"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26</w:t>
            </w:r>
            <w:r>
              <w:rPr>
                <w:rFonts w:ascii="宋体" w:eastAsia="宋体" w:hAnsi="宋体" w:cs="Times New Roman" w:hint="eastAsia"/>
                <w:color w:val="000000"/>
                <w:kern w:val="0"/>
                <w:sz w:val="21"/>
                <w:szCs w:val="21"/>
              </w:rPr>
              <w:t>（</w:t>
            </w:r>
            <w:r>
              <w:rPr>
                <w:rFonts w:ascii="Times New Roman" w:eastAsia="等线" w:hAnsi="Times New Roman" w:cs="Times New Roman"/>
                <w:color w:val="000000"/>
                <w:kern w:val="0"/>
                <w:sz w:val="21"/>
                <w:szCs w:val="21"/>
              </w:rPr>
              <w:t>89.7%</w:t>
            </w:r>
            <w:r>
              <w:rPr>
                <w:rFonts w:ascii="宋体" w:eastAsia="宋体" w:hAnsi="宋体" w:cs="Times New Roman" w:hint="eastAsia"/>
                <w:color w:val="000000"/>
                <w:kern w:val="0"/>
                <w:sz w:val="21"/>
                <w:szCs w:val="21"/>
              </w:rPr>
              <w:t>）</w:t>
            </w:r>
          </w:p>
        </w:tc>
      </w:tr>
      <w:tr w:rsidR="00CA083C">
        <w:trPr>
          <w:trHeight w:val="300"/>
          <w:jc w:val="center"/>
        </w:trPr>
        <w:tc>
          <w:tcPr>
            <w:tcW w:w="1080" w:type="dxa"/>
            <w:vMerge w:val="restart"/>
            <w:tcBorders>
              <w:top w:val="nil"/>
              <w:left w:val="single" w:sz="12" w:space="0" w:color="000000"/>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2018</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硕士</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181</w:t>
            </w:r>
          </w:p>
        </w:tc>
        <w:tc>
          <w:tcPr>
            <w:tcW w:w="132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174</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7</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540" w:type="dxa"/>
            <w:tcBorders>
              <w:top w:val="nil"/>
              <w:left w:val="nil"/>
              <w:bottom w:val="single" w:sz="8" w:space="0" w:color="000000"/>
              <w:right w:val="single" w:sz="12"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181</w:t>
            </w:r>
            <w:r>
              <w:rPr>
                <w:rFonts w:ascii="宋体" w:eastAsia="宋体" w:hAnsi="宋体" w:cs="Times New Roman" w:hint="eastAsia"/>
                <w:color w:val="000000"/>
                <w:kern w:val="0"/>
                <w:sz w:val="21"/>
                <w:szCs w:val="21"/>
              </w:rPr>
              <w:t>（</w:t>
            </w:r>
            <w:r>
              <w:rPr>
                <w:rFonts w:ascii="Times New Roman" w:eastAsia="等线" w:hAnsi="Times New Roman" w:cs="Times New Roman"/>
                <w:color w:val="000000"/>
                <w:kern w:val="0"/>
                <w:sz w:val="21"/>
                <w:szCs w:val="21"/>
              </w:rPr>
              <w:t>100%</w:t>
            </w:r>
            <w:r>
              <w:rPr>
                <w:rFonts w:ascii="宋体" w:eastAsia="宋体" w:hAnsi="宋体" w:cs="Times New Roman" w:hint="eastAsia"/>
                <w:color w:val="000000"/>
                <w:kern w:val="0"/>
                <w:sz w:val="21"/>
                <w:szCs w:val="21"/>
              </w:rPr>
              <w:t>）</w:t>
            </w:r>
          </w:p>
        </w:tc>
      </w:tr>
      <w:tr w:rsidR="00CA083C">
        <w:trPr>
          <w:trHeight w:val="300"/>
          <w:jc w:val="center"/>
        </w:trPr>
        <w:tc>
          <w:tcPr>
            <w:tcW w:w="1080" w:type="dxa"/>
            <w:vMerge/>
            <w:tcBorders>
              <w:top w:val="nil"/>
              <w:left w:val="single" w:sz="12" w:space="0" w:color="000000"/>
              <w:bottom w:val="single" w:sz="8" w:space="0" w:color="000000"/>
              <w:right w:val="single" w:sz="8" w:space="0" w:color="000000"/>
            </w:tcBorders>
            <w:vAlign w:val="center"/>
          </w:tcPr>
          <w:p w:rsidR="00CA083C" w:rsidRDefault="00CA083C">
            <w:pPr>
              <w:widowControl/>
              <w:spacing w:line="560" w:lineRule="exact"/>
              <w:jc w:val="left"/>
              <w:rPr>
                <w:rFonts w:ascii="Times New Roman" w:eastAsia="等线" w:hAnsi="Times New Roman" w:cs="Times New Roman"/>
                <w:color w:val="000000"/>
                <w:kern w:val="0"/>
                <w:sz w:val="21"/>
                <w:szCs w:val="21"/>
              </w:rPr>
            </w:pP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博士</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40</w:t>
            </w:r>
          </w:p>
        </w:tc>
        <w:tc>
          <w:tcPr>
            <w:tcW w:w="132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39</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CA083C">
            <w:pPr>
              <w:widowControl/>
              <w:spacing w:line="560" w:lineRule="exact"/>
              <w:jc w:val="center"/>
              <w:rPr>
                <w:rFonts w:ascii="Times New Roman" w:eastAsia="等线" w:hAnsi="Times New Roman" w:cs="Times New Roman"/>
                <w:color w:val="000000"/>
                <w:kern w:val="0"/>
                <w:sz w:val="20"/>
                <w:szCs w:val="20"/>
              </w:rPr>
            </w:pPr>
          </w:p>
        </w:tc>
        <w:tc>
          <w:tcPr>
            <w:tcW w:w="1080" w:type="dxa"/>
            <w:tcBorders>
              <w:top w:val="nil"/>
              <w:left w:val="nil"/>
              <w:bottom w:val="single" w:sz="8" w:space="0" w:color="000000"/>
              <w:right w:val="single" w:sz="8" w:space="0" w:color="000000"/>
            </w:tcBorders>
            <w:shd w:val="clear" w:color="auto" w:fill="auto"/>
            <w:vAlign w:val="center"/>
          </w:tcPr>
          <w:p w:rsidR="00CA083C" w:rsidRDefault="00CA083C">
            <w:pPr>
              <w:widowControl/>
              <w:spacing w:line="560" w:lineRule="exact"/>
              <w:jc w:val="center"/>
              <w:rPr>
                <w:rFonts w:ascii="Times New Roman" w:eastAsia="等线" w:hAnsi="Times New Roman" w:cs="Times New Roman"/>
                <w:color w:val="000000"/>
                <w:kern w:val="0"/>
                <w:sz w:val="20"/>
                <w:szCs w:val="20"/>
              </w:rPr>
            </w:pPr>
          </w:p>
        </w:tc>
        <w:tc>
          <w:tcPr>
            <w:tcW w:w="1540" w:type="dxa"/>
            <w:tcBorders>
              <w:top w:val="nil"/>
              <w:left w:val="nil"/>
              <w:bottom w:val="single" w:sz="8" w:space="0" w:color="000000"/>
              <w:right w:val="single" w:sz="12"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39</w:t>
            </w:r>
            <w:r>
              <w:rPr>
                <w:rFonts w:ascii="宋体" w:eastAsia="宋体" w:hAnsi="宋体" w:cs="Times New Roman" w:hint="eastAsia"/>
                <w:color w:val="000000"/>
                <w:kern w:val="0"/>
                <w:sz w:val="21"/>
                <w:szCs w:val="21"/>
              </w:rPr>
              <w:t>（</w:t>
            </w:r>
            <w:r>
              <w:rPr>
                <w:rFonts w:ascii="Times New Roman" w:eastAsia="等线" w:hAnsi="Times New Roman" w:cs="Times New Roman"/>
                <w:color w:val="000000"/>
                <w:kern w:val="0"/>
                <w:sz w:val="21"/>
                <w:szCs w:val="21"/>
              </w:rPr>
              <w:t>97.5%</w:t>
            </w:r>
            <w:r>
              <w:rPr>
                <w:rFonts w:ascii="宋体" w:eastAsia="宋体" w:hAnsi="宋体" w:cs="Times New Roman" w:hint="eastAsia"/>
                <w:color w:val="000000"/>
                <w:kern w:val="0"/>
                <w:sz w:val="21"/>
                <w:szCs w:val="21"/>
              </w:rPr>
              <w:t>）</w:t>
            </w:r>
          </w:p>
        </w:tc>
      </w:tr>
      <w:tr w:rsidR="00CA083C">
        <w:trPr>
          <w:trHeight w:val="300"/>
          <w:jc w:val="center"/>
        </w:trPr>
        <w:tc>
          <w:tcPr>
            <w:tcW w:w="1080" w:type="dxa"/>
            <w:vMerge w:val="restart"/>
            <w:tcBorders>
              <w:top w:val="nil"/>
              <w:left w:val="single" w:sz="12" w:space="0" w:color="000000"/>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2019</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硕士</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180</w:t>
            </w:r>
          </w:p>
        </w:tc>
        <w:tc>
          <w:tcPr>
            <w:tcW w:w="132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168</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4</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3</w:t>
            </w:r>
          </w:p>
        </w:tc>
        <w:tc>
          <w:tcPr>
            <w:tcW w:w="1540" w:type="dxa"/>
            <w:tcBorders>
              <w:top w:val="nil"/>
              <w:left w:val="nil"/>
              <w:bottom w:val="single" w:sz="8" w:space="0" w:color="000000"/>
              <w:right w:val="single" w:sz="12"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175</w:t>
            </w:r>
            <w:r>
              <w:rPr>
                <w:rFonts w:ascii="宋体" w:eastAsia="宋体" w:hAnsi="宋体" w:cs="Times New Roman" w:hint="eastAsia"/>
                <w:color w:val="000000"/>
                <w:kern w:val="0"/>
                <w:sz w:val="21"/>
                <w:szCs w:val="21"/>
              </w:rPr>
              <w:t>（</w:t>
            </w:r>
            <w:r>
              <w:rPr>
                <w:rFonts w:ascii="Times New Roman" w:eastAsia="等线" w:hAnsi="Times New Roman" w:cs="Times New Roman"/>
                <w:color w:val="000000"/>
                <w:kern w:val="0"/>
                <w:sz w:val="21"/>
                <w:szCs w:val="21"/>
              </w:rPr>
              <w:t>97.2%</w:t>
            </w:r>
            <w:r>
              <w:rPr>
                <w:rFonts w:ascii="宋体" w:eastAsia="宋体" w:hAnsi="宋体" w:cs="Times New Roman" w:hint="eastAsia"/>
                <w:color w:val="000000"/>
                <w:kern w:val="0"/>
                <w:sz w:val="21"/>
                <w:szCs w:val="21"/>
              </w:rPr>
              <w:t>）</w:t>
            </w:r>
          </w:p>
        </w:tc>
      </w:tr>
      <w:tr w:rsidR="00CA083C">
        <w:trPr>
          <w:trHeight w:val="300"/>
          <w:jc w:val="center"/>
        </w:trPr>
        <w:tc>
          <w:tcPr>
            <w:tcW w:w="1080" w:type="dxa"/>
            <w:vMerge/>
            <w:tcBorders>
              <w:top w:val="nil"/>
              <w:left w:val="single" w:sz="12" w:space="0" w:color="000000"/>
              <w:bottom w:val="single" w:sz="8" w:space="0" w:color="000000"/>
              <w:right w:val="single" w:sz="8" w:space="0" w:color="000000"/>
            </w:tcBorders>
            <w:vAlign w:val="center"/>
          </w:tcPr>
          <w:p w:rsidR="00CA083C" w:rsidRDefault="00CA083C">
            <w:pPr>
              <w:widowControl/>
              <w:spacing w:line="560" w:lineRule="exact"/>
              <w:jc w:val="left"/>
              <w:rPr>
                <w:rFonts w:ascii="Times New Roman" w:eastAsia="等线" w:hAnsi="Times New Roman" w:cs="Times New Roman"/>
                <w:color w:val="000000"/>
                <w:kern w:val="0"/>
                <w:sz w:val="21"/>
                <w:szCs w:val="21"/>
              </w:rPr>
            </w:pP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博士</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35</w:t>
            </w:r>
          </w:p>
        </w:tc>
        <w:tc>
          <w:tcPr>
            <w:tcW w:w="132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35</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CA083C">
            <w:pPr>
              <w:widowControl/>
              <w:spacing w:line="560" w:lineRule="exact"/>
              <w:jc w:val="center"/>
              <w:rPr>
                <w:rFonts w:ascii="Times New Roman" w:eastAsia="等线" w:hAnsi="Times New Roman" w:cs="Times New Roman"/>
                <w:color w:val="000000"/>
                <w:kern w:val="0"/>
                <w:sz w:val="20"/>
                <w:szCs w:val="20"/>
              </w:rPr>
            </w:pPr>
          </w:p>
        </w:tc>
        <w:tc>
          <w:tcPr>
            <w:tcW w:w="1080" w:type="dxa"/>
            <w:tcBorders>
              <w:top w:val="nil"/>
              <w:left w:val="nil"/>
              <w:bottom w:val="single" w:sz="8" w:space="0" w:color="000000"/>
              <w:right w:val="single" w:sz="8" w:space="0" w:color="000000"/>
            </w:tcBorders>
            <w:shd w:val="clear" w:color="auto" w:fill="auto"/>
            <w:vAlign w:val="center"/>
          </w:tcPr>
          <w:p w:rsidR="00CA083C" w:rsidRDefault="00CA083C">
            <w:pPr>
              <w:widowControl/>
              <w:spacing w:line="560" w:lineRule="exact"/>
              <w:jc w:val="center"/>
              <w:rPr>
                <w:rFonts w:ascii="Times New Roman" w:eastAsia="等线" w:hAnsi="Times New Roman" w:cs="Times New Roman"/>
                <w:color w:val="000000"/>
                <w:kern w:val="0"/>
                <w:sz w:val="20"/>
                <w:szCs w:val="20"/>
              </w:rPr>
            </w:pPr>
          </w:p>
        </w:tc>
        <w:tc>
          <w:tcPr>
            <w:tcW w:w="1540" w:type="dxa"/>
            <w:tcBorders>
              <w:top w:val="nil"/>
              <w:left w:val="nil"/>
              <w:bottom w:val="single" w:sz="8" w:space="0" w:color="000000"/>
              <w:right w:val="single" w:sz="12"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35</w:t>
            </w:r>
            <w:r>
              <w:rPr>
                <w:rFonts w:ascii="宋体" w:eastAsia="宋体" w:hAnsi="宋体" w:cs="Times New Roman" w:hint="eastAsia"/>
                <w:color w:val="000000"/>
                <w:kern w:val="0"/>
                <w:sz w:val="21"/>
                <w:szCs w:val="21"/>
              </w:rPr>
              <w:t>（</w:t>
            </w:r>
            <w:r>
              <w:rPr>
                <w:rFonts w:ascii="Times New Roman" w:eastAsia="等线" w:hAnsi="Times New Roman" w:cs="Times New Roman"/>
                <w:color w:val="000000"/>
                <w:kern w:val="0"/>
                <w:sz w:val="21"/>
                <w:szCs w:val="21"/>
              </w:rPr>
              <w:t>100%</w:t>
            </w:r>
            <w:r>
              <w:rPr>
                <w:rFonts w:ascii="宋体" w:eastAsia="宋体" w:hAnsi="宋体" w:cs="Times New Roman" w:hint="eastAsia"/>
                <w:color w:val="000000"/>
                <w:kern w:val="0"/>
                <w:sz w:val="21"/>
                <w:szCs w:val="21"/>
              </w:rPr>
              <w:t>）</w:t>
            </w:r>
          </w:p>
        </w:tc>
      </w:tr>
      <w:tr w:rsidR="00CA083C">
        <w:trPr>
          <w:trHeight w:val="300"/>
          <w:jc w:val="center"/>
        </w:trPr>
        <w:tc>
          <w:tcPr>
            <w:tcW w:w="1080" w:type="dxa"/>
            <w:vMerge w:val="restart"/>
            <w:tcBorders>
              <w:top w:val="nil"/>
              <w:left w:val="single" w:sz="12" w:space="0" w:color="000000"/>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2020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硕士</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176</w:t>
            </w:r>
          </w:p>
        </w:tc>
        <w:tc>
          <w:tcPr>
            <w:tcW w:w="132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150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11</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4</w:t>
            </w:r>
          </w:p>
        </w:tc>
        <w:tc>
          <w:tcPr>
            <w:tcW w:w="1540" w:type="dxa"/>
            <w:tcBorders>
              <w:top w:val="nil"/>
              <w:left w:val="nil"/>
              <w:bottom w:val="single" w:sz="8" w:space="0" w:color="000000"/>
              <w:right w:val="single" w:sz="12"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165</w:t>
            </w:r>
            <w:r>
              <w:rPr>
                <w:rFonts w:ascii="宋体" w:eastAsia="宋体" w:hAnsi="宋体" w:cs="Times New Roman" w:hint="eastAsia"/>
                <w:color w:val="000000"/>
                <w:kern w:val="0"/>
                <w:sz w:val="21"/>
                <w:szCs w:val="21"/>
              </w:rPr>
              <w:t>（</w:t>
            </w:r>
            <w:r>
              <w:rPr>
                <w:rFonts w:ascii="Times New Roman" w:eastAsia="等线" w:hAnsi="Times New Roman" w:cs="Times New Roman"/>
                <w:color w:val="000000"/>
                <w:kern w:val="0"/>
                <w:sz w:val="21"/>
                <w:szCs w:val="21"/>
              </w:rPr>
              <w:t>93.8%</w:t>
            </w:r>
            <w:r>
              <w:rPr>
                <w:rFonts w:ascii="宋体" w:eastAsia="宋体" w:hAnsi="宋体" w:cs="Times New Roman" w:hint="eastAsia"/>
                <w:color w:val="000000"/>
                <w:kern w:val="0"/>
                <w:sz w:val="21"/>
                <w:szCs w:val="21"/>
              </w:rPr>
              <w:t>）</w:t>
            </w:r>
          </w:p>
        </w:tc>
      </w:tr>
      <w:tr w:rsidR="00CA083C">
        <w:trPr>
          <w:trHeight w:val="300"/>
          <w:jc w:val="center"/>
        </w:trPr>
        <w:tc>
          <w:tcPr>
            <w:tcW w:w="1080" w:type="dxa"/>
            <w:vMerge/>
            <w:tcBorders>
              <w:top w:val="nil"/>
              <w:left w:val="single" w:sz="12" w:space="0" w:color="000000"/>
              <w:bottom w:val="single" w:sz="8" w:space="0" w:color="000000"/>
              <w:right w:val="single" w:sz="8" w:space="0" w:color="000000"/>
            </w:tcBorders>
            <w:vAlign w:val="center"/>
          </w:tcPr>
          <w:p w:rsidR="00CA083C" w:rsidRDefault="00CA083C">
            <w:pPr>
              <w:widowControl/>
              <w:spacing w:line="560" w:lineRule="exact"/>
              <w:jc w:val="left"/>
              <w:rPr>
                <w:rFonts w:ascii="Times New Roman" w:eastAsia="等线" w:hAnsi="Times New Roman" w:cs="Times New Roman"/>
                <w:color w:val="000000"/>
                <w:kern w:val="0"/>
                <w:sz w:val="21"/>
                <w:szCs w:val="21"/>
              </w:rPr>
            </w:pP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博士</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24</w:t>
            </w:r>
          </w:p>
        </w:tc>
        <w:tc>
          <w:tcPr>
            <w:tcW w:w="132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24</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CA083C">
            <w:pPr>
              <w:widowControl/>
              <w:spacing w:line="560" w:lineRule="exact"/>
              <w:jc w:val="center"/>
              <w:rPr>
                <w:rFonts w:ascii="Times New Roman" w:eastAsia="等线" w:hAnsi="Times New Roman" w:cs="Times New Roman"/>
                <w:color w:val="000000"/>
                <w:kern w:val="0"/>
                <w:sz w:val="20"/>
                <w:szCs w:val="20"/>
              </w:rPr>
            </w:pPr>
          </w:p>
        </w:tc>
        <w:tc>
          <w:tcPr>
            <w:tcW w:w="1080" w:type="dxa"/>
            <w:tcBorders>
              <w:top w:val="nil"/>
              <w:left w:val="nil"/>
              <w:bottom w:val="single" w:sz="8" w:space="0" w:color="000000"/>
              <w:right w:val="single" w:sz="8" w:space="0" w:color="000000"/>
            </w:tcBorders>
            <w:shd w:val="clear" w:color="auto" w:fill="auto"/>
            <w:vAlign w:val="center"/>
          </w:tcPr>
          <w:p w:rsidR="00CA083C" w:rsidRDefault="00CA083C">
            <w:pPr>
              <w:widowControl/>
              <w:spacing w:line="560" w:lineRule="exact"/>
              <w:jc w:val="center"/>
              <w:rPr>
                <w:rFonts w:ascii="Times New Roman" w:eastAsia="等线" w:hAnsi="Times New Roman" w:cs="Times New Roman"/>
                <w:color w:val="000000"/>
                <w:kern w:val="0"/>
                <w:sz w:val="20"/>
                <w:szCs w:val="20"/>
              </w:rPr>
            </w:pPr>
          </w:p>
        </w:tc>
        <w:tc>
          <w:tcPr>
            <w:tcW w:w="1540" w:type="dxa"/>
            <w:tcBorders>
              <w:top w:val="nil"/>
              <w:left w:val="nil"/>
              <w:bottom w:val="single" w:sz="8" w:space="0" w:color="000000"/>
              <w:right w:val="single" w:sz="12"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24</w:t>
            </w:r>
            <w:r>
              <w:rPr>
                <w:rFonts w:ascii="宋体" w:eastAsia="宋体" w:hAnsi="宋体" w:cs="Times New Roman" w:hint="eastAsia"/>
                <w:color w:val="000000"/>
                <w:kern w:val="0"/>
                <w:sz w:val="21"/>
                <w:szCs w:val="21"/>
              </w:rPr>
              <w:t>（</w:t>
            </w:r>
            <w:r>
              <w:rPr>
                <w:rFonts w:ascii="Times New Roman" w:eastAsia="等线" w:hAnsi="Times New Roman" w:cs="Times New Roman"/>
                <w:color w:val="000000"/>
                <w:kern w:val="0"/>
                <w:sz w:val="21"/>
                <w:szCs w:val="21"/>
              </w:rPr>
              <w:t>100%</w:t>
            </w:r>
            <w:r>
              <w:rPr>
                <w:rFonts w:ascii="宋体" w:eastAsia="宋体" w:hAnsi="宋体" w:cs="Times New Roman" w:hint="eastAsia"/>
                <w:color w:val="000000"/>
                <w:kern w:val="0"/>
                <w:sz w:val="21"/>
                <w:szCs w:val="21"/>
              </w:rPr>
              <w:t>）</w:t>
            </w:r>
          </w:p>
        </w:tc>
      </w:tr>
      <w:tr w:rsidR="00CA083C">
        <w:trPr>
          <w:trHeight w:val="300"/>
          <w:jc w:val="center"/>
        </w:trPr>
        <w:tc>
          <w:tcPr>
            <w:tcW w:w="1080" w:type="dxa"/>
            <w:vMerge w:val="restart"/>
            <w:tcBorders>
              <w:top w:val="nil"/>
              <w:left w:val="single" w:sz="12" w:space="0" w:color="000000"/>
              <w:bottom w:val="single" w:sz="12"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2021</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硕士</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172</w:t>
            </w:r>
          </w:p>
        </w:tc>
        <w:tc>
          <w:tcPr>
            <w:tcW w:w="132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154</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9</w:t>
            </w:r>
          </w:p>
        </w:tc>
        <w:tc>
          <w:tcPr>
            <w:tcW w:w="1080" w:type="dxa"/>
            <w:tcBorders>
              <w:top w:val="nil"/>
              <w:left w:val="nil"/>
              <w:bottom w:val="single" w:sz="8"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w:t>
            </w:r>
          </w:p>
        </w:tc>
        <w:tc>
          <w:tcPr>
            <w:tcW w:w="1540" w:type="dxa"/>
            <w:tcBorders>
              <w:top w:val="nil"/>
              <w:left w:val="nil"/>
              <w:bottom w:val="single" w:sz="8" w:space="0" w:color="000000"/>
              <w:right w:val="single" w:sz="12"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164</w:t>
            </w:r>
            <w:r>
              <w:rPr>
                <w:rFonts w:ascii="宋体" w:eastAsia="宋体" w:hAnsi="宋体" w:cs="Times New Roman" w:hint="eastAsia"/>
                <w:color w:val="000000"/>
                <w:kern w:val="0"/>
                <w:sz w:val="21"/>
                <w:szCs w:val="21"/>
              </w:rPr>
              <w:t>（</w:t>
            </w:r>
            <w:r>
              <w:rPr>
                <w:rFonts w:ascii="Times New Roman" w:eastAsia="等线" w:hAnsi="Times New Roman" w:cs="Times New Roman"/>
                <w:color w:val="000000"/>
                <w:kern w:val="0"/>
                <w:sz w:val="21"/>
                <w:szCs w:val="21"/>
              </w:rPr>
              <w:t>95.3%</w:t>
            </w:r>
            <w:r>
              <w:rPr>
                <w:rFonts w:ascii="宋体" w:eastAsia="宋体" w:hAnsi="宋体" w:cs="Times New Roman" w:hint="eastAsia"/>
                <w:color w:val="000000"/>
                <w:kern w:val="0"/>
                <w:sz w:val="21"/>
                <w:szCs w:val="21"/>
              </w:rPr>
              <w:t>）</w:t>
            </w:r>
          </w:p>
        </w:tc>
      </w:tr>
      <w:tr w:rsidR="00CA083C">
        <w:trPr>
          <w:trHeight w:val="300"/>
          <w:jc w:val="center"/>
        </w:trPr>
        <w:tc>
          <w:tcPr>
            <w:tcW w:w="1080" w:type="dxa"/>
            <w:vMerge/>
            <w:tcBorders>
              <w:top w:val="nil"/>
              <w:left w:val="single" w:sz="12" w:space="0" w:color="000000"/>
              <w:bottom w:val="single" w:sz="12" w:space="0" w:color="000000"/>
              <w:right w:val="single" w:sz="8" w:space="0" w:color="000000"/>
            </w:tcBorders>
            <w:vAlign w:val="center"/>
          </w:tcPr>
          <w:p w:rsidR="00CA083C" w:rsidRDefault="00CA083C">
            <w:pPr>
              <w:widowControl/>
              <w:spacing w:line="560" w:lineRule="exact"/>
              <w:jc w:val="left"/>
              <w:rPr>
                <w:rFonts w:ascii="Times New Roman" w:eastAsia="等线" w:hAnsi="Times New Roman" w:cs="Times New Roman"/>
                <w:color w:val="000000"/>
                <w:kern w:val="0"/>
                <w:sz w:val="21"/>
                <w:szCs w:val="21"/>
              </w:rPr>
            </w:pPr>
          </w:p>
        </w:tc>
        <w:tc>
          <w:tcPr>
            <w:tcW w:w="1080" w:type="dxa"/>
            <w:tcBorders>
              <w:top w:val="nil"/>
              <w:left w:val="nil"/>
              <w:bottom w:val="single" w:sz="12" w:space="0" w:color="000000"/>
              <w:right w:val="single" w:sz="8" w:space="0" w:color="000000"/>
            </w:tcBorders>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1"/>
                <w:szCs w:val="21"/>
              </w:rPr>
            </w:pPr>
            <w:r>
              <w:rPr>
                <w:rFonts w:ascii="仿宋_GB2312" w:eastAsia="仿宋_GB2312" w:hAnsi="等线" w:cs="宋体" w:hint="eastAsia"/>
                <w:color w:val="000000"/>
                <w:kern w:val="0"/>
                <w:sz w:val="21"/>
                <w:szCs w:val="21"/>
              </w:rPr>
              <w:t>博士</w:t>
            </w:r>
          </w:p>
        </w:tc>
        <w:tc>
          <w:tcPr>
            <w:tcW w:w="1080" w:type="dxa"/>
            <w:tcBorders>
              <w:top w:val="nil"/>
              <w:left w:val="nil"/>
              <w:bottom w:val="single" w:sz="12"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28</w:t>
            </w:r>
          </w:p>
        </w:tc>
        <w:tc>
          <w:tcPr>
            <w:tcW w:w="1320" w:type="dxa"/>
            <w:tcBorders>
              <w:top w:val="nil"/>
              <w:left w:val="nil"/>
              <w:bottom w:val="single" w:sz="12"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26</w:t>
            </w:r>
          </w:p>
        </w:tc>
        <w:tc>
          <w:tcPr>
            <w:tcW w:w="1080" w:type="dxa"/>
            <w:tcBorders>
              <w:top w:val="nil"/>
              <w:left w:val="nil"/>
              <w:bottom w:val="single" w:sz="12"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12" w:space="0" w:color="000000"/>
              <w:right w:val="single" w:sz="8"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0</w:t>
            </w:r>
          </w:p>
        </w:tc>
        <w:tc>
          <w:tcPr>
            <w:tcW w:w="1080" w:type="dxa"/>
            <w:tcBorders>
              <w:top w:val="nil"/>
              <w:left w:val="nil"/>
              <w:bottom w:val="single" w:sz="12" w:space="0" w:color="000000"/>
              <w:right w:val="single" w:sz="8" w:space="0" w:color="000000"/>
            </w:tcBorders>
            <w:shd w:val="clear" w:color="auto" w:fill="auto"/>
            <w:vAlign w:val="center"/>
          </w:tcPr>
          <w:p w:rsidR="00CA083C" w:rsidRDefault="00CA083C">
            <w:pPr>
              <w:widowControl/>
              <w:spacing w:line="560" w:lineRule="exact"/>
              <w:jc w:val="center"/>
              <w:rPr>
                <w:rFonts w:ascii="Times New Roman" w:eastAsia="等线" w:hAnsi="Times New Roman" w:cs="Times New Roman"/>
                <w:color w:val="000000"/>
                <w:kern w:val="0"/>
                <w:sz w:val="20"/>
                <w:szCs w:val="20"/>
              </w:rPr>
            </w:pPr>
          </w:p>
        </w:tc>
        <w:tc>
          <w:tcPr>
            <w:tcW w:w="1080" w:type="dxa"/>
            <w:tcBorders>
              <w:top w:val="nil"/>
              <w:left w:val="nil"/>
              <w:bottom w:val="single" w:sz="12" w:space="0" w:color="000000"/>
              <w:right w:val="single" w:sz="8" w:space="0" w:color="000000"/>
            </w:tcBorders>
            <w:shd w:val="clear" w:color="auto" w:fill="auto"/>
            <w:vAlign w:val="center"/>
          </w:tcPr>
          <w:p w:rsidR="00CA083C" w:rsidRDefault="00CA083C">
            <w:pPr>
              <w:widowControl/>
              <w:spacing w:line="560" w:lineRule="exact"/>
              <w:jc w:val="center"/>
              <w:rPr>
                <w:rFonts w:ascii="Times New Roman" w:eastAsia="等线" w:hAnsi="Times New Roman" w:cs="Times New Roman"/>
                <w:color w:val="000000"/>
                <w:kern w:val="0"/>
                <w:sz w:val="20"/>
                <w:szCs w:val="20"/>
              </w:rPr>
            </w:pPr>
          </w:p>
        </w:tc>
        <w:tc>
          <w:tcPr>
            <w:tcW w:w="1540" w:type="dxa"/>
            <w:tcBorders>
              <w:top w:val="nil"/>
              <w:left w:val="nil"/>
              <w:bottom w:val="single" w:sz="12" w:space="0" w:color="000000"/>
              <w:right w:val="single" w:sz="12" w:space="0" w:color="000000"/>
            </w:tcBorders>
            <w:shd w:val="clear" w:color="auto" w:fill="auto"/>
            <w:vAlign w:val="center"/>
          </w:tcPr>
          <w:p w:rsidR="00CA083C" w:rsidRDefault="00771C28">
            <w:pPr>
              <w:widowControl/>
              <w:spacing w:line="560" w:lineRule="exact"/>
              <w:jc w:val="center"/>
              <w:rPr>
                <w:rFonts w:ascii="Times New Roman" w:eastAsia="等线" w:hAnsi="Times New Roman" w:cs="Times New Roman"/>
                <w:color w:val="000000"/>
                <w:kern w:val="0"/>
                <w:sz w:val="21"/>
                <w:szCs w:val="21"/>
              </w:rPr>
            </w:pPr>
            <w:r>
              <w:rPr>
                <w:rFonts w:ascii="Times New Roman" w:eastAsia="等线" w:hAnsi="Times New Roman" w:cs="Times New Roman"/>
                <w:color w:val="000000"/>
                <w:kern w:val="0"/>
                <w:sz w:val="21"/>
                <w:szCs w:val="21"/>
              </w:rPr>
              <w:t>26</w:t>
            </w:r>
            <w:r>
              <w:rPr>
                <w:rFonts w:ascii="宋体" w:eastAsia="宋体" w:hAnsi="宋体" w:cs="Times New Roman" w:hint="eastAsia"/>
                <w:color w:val="000000"/>
                <w:kern w:val="0"/>
                <w:sz w:val="21"/>
                <w:szCs w:val="21"/>
              </w:rPr>
              <w:t>（</w:t>
            </w:r>
            <w:r>
              <w:rPr>
                <w:rFonts w:ascii="Times New Roman" w:eastAsia="等线" w:hAnsi="Times New Roman" w:cs="Times New Roman"/>
                <w:color w:val="000000"/>
                <w:kern w:val="0"/>
                <w:sz w:val="21"/>
                <w:szCs w:val="21"/>
              </w:rPr>
              <w:t>92.9%</w:t>
            </w:r>
            <w:r>
              <w:rPr>
                <w:rFonts w:ascii="宋体" w:eastAsia="宋体" w:hAnsi="宋体" w:cs="Times New Roman" w:hint="eastAsia"/>
                <w:color w:val="000000"/>
                <w:kern w:val="0"/>
                <w:sz w:val="21"/>
                <w:szCs w:val="21"/>
              </w:rPr>
              <w:t>）</w:t>
            </w:r>
          </w:p>
        </w:tc>
      </w:tr>
    </w:tbl>
    <w:p w:rsidR="00CA083C" w:rsidRDefault="00CA083C">
      <w:pPr>
        <w:spacing w:line="560" w:lineRule="exact"/>
        <w:rPr>
          <w:rFonts w:ascii="宋体" w:eastAsia="宋体" w:hAnsi="宋体"/>
          <w:b/>
          <w:bCs/>
          <w:color w:val="000000"/>
          <w:sz w:val="21"/>
          <w:szCs w:val="21"/>
        </w:rPr>
      </w:pPr>
    </w:p>
    <w:p w:rsidR="00CA083C" w:rsidRDefault="00771C28">
      <w:pPr>
        <w:spacing w:line="560" w:lineRule="exact"/>
        <w:rPr>
          <w:rFonts w:ascii="宋体" w:eastAsia="宋体" w:hAnsi="宋体"/>
          <w:b/>
          <w:bCs/>
          <w:color w:val="000000"/>
          <w:sz w:val="21"/>
          <w:szCs w:val="21"/>
        </w:rPr>
      </w:pPr>
      <w:r>
        <w:rPr>
          <w:rFonts w:ascii="宋体" w:eastAsia="宋体" w:hAnsi="宋体"/>
          <w:b/>
          <w:bCs/>
          <w:color w:val="000000"/>
          <w:sz w:val="21"/>
          <w:szCs w:val="21"/>
        </w:rPr>
        <w:t xml:space="preserve">表2 </w:t>
      </w:r>
      <w:r>
        <w:rPr>
          <w:rFonts w:ascii="宋体" w:eastAsia="宋体" w:hAnsi="宋体" w:hint="eastAsia"/>
          <w:b/>
          <w:bCs/>
          <w:color w:val="000000"/>
          <w:sz w:val="21"/>
          <w:szCs w:val="21"/>
        </w:rPr>
        <w:t>签约单位类型分布</w:t>
      </w:r>
    </w:p>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71"/>
        <w:gridCol w:w="851"/>
        <w:gridCol w:w="992"/>
        <w:gridCol w:w="1276"/>
        <w:gridCol w:w="992"/>
        <w:gridCol w:w="992"/>
        <w:gridCol w:w="992"/>
        <w:gridCol w:w="851"/>
        <w:gridCol w:w="850"/>
        <w:gridCol w:w="851"/>
        <w:gridCol w:w="709"/>
      </w:tblGrid>
      <w:tr w:rsidR="00CA083C">
        <w:trPr>
          <w:trHeight w:val="570"/>
          <w:jc w:val="center"/>
        </w:trPr>
        <w:tc>
          <w:tcPr>
            <w:tcW w:w="1271"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单位类别</w:t>
            </w:r>
          </w:p>
        </w:tc>
        <w:tc>
          <w:tcPr>
            <w:tcW w:w="851"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党政机关</w:t>
            </w:r>
          </w:p>
        </w:tc>
        <w:tc>
          <w:tcPr>
            <w:tcW w:w="992"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高等教育单位</w:t>
            </w:r>
          </w:p>
        </w:tc>
        <w:tc>
          <w:tcPr>
            <w:tcW w:w="1276"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中初等教育单位</w:t>
            </w:r>
          </w:p>
        </w:tc>
        <w:tc>
          <w:tcPr>
            <w:tcW w:w="992"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科研设计单位</w:t>
            </w:r>
          </w:p>
        </w:tc>
        <w:tc>
          <w:tcPr>
            <w:tcW w:w="992"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医疗卫生单位</w:t>
            </w:r>
          </w:p>
        </w:tc>
        <w:tc>
          <w:tcPr>
            <w:tcW w:w="992"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其他事业单位</w:t>
            </w:r>
          </w:p>
        </w:tc>
        <w:tc>
          <w:tcPr>
            <w:tcW w:w="851"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国有企业</w:t>
            </w:r>
          </w:p>
        </w:tc>
        <w:tc>
          <w:tcPr>
            <w:tcW w:w="850"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民营企业</w:t>
            </w:r>
          </w:p>
        </w:tc>
        <w:tc>
          <w:tcPr>
            <w:tcW w:w="851"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三资企业</w:t>
            </w:r>
          </w:p>
        </w:tc>
        <w:tc>
          <w:tcPr>
            <w:tcW w:w="709"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其他</w:t>
            </w:r>
          </w:p>
        </w:tc>
      </w:tr>
      <w:tr w:rsidR="00CA083C">
        <w:trPr>
          <w:trHeight w:val="285"/>
          <w:jc w:val="center"/>
        </w:trPr>
        <w:tc>
          <w:tcPr>
            <w:tcW w:w="1271"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硕士签约</w:t>
            </w:r>
          </w:p>
        </w:tc>
        <w:tc>
          <w:tcPr>
            <w:tcW w:w="851"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31</w:t>
            </w:r>
          </w:p>
        </w:tc>
        <w:tc>
          <w:tcPr>
            <w:tcW w:w="992"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15</w:t>
            </w:r>
          </w:p>
        </w:tc>
        <w:tc>
          <w:tcPr>
            <w:tcW w:w="1276"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2</w:t>
            </w:r>
          </w:p>
        </w:tc>
        <w:tc>
          <w:tcPr>
            <w:tcW w:w="992"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4</w:t>
            </w:r>
          </w:p>
        </w:tc>
        <w:tc>
          <w:tcPr>
            <w:tcW w:w="992"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3</w:t>
            </w:r>
          </w:p>
        </w:tc>
        <w:tc>
          <w:tcPr>
            <w:tcW w:w="992"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14</w:t>
            </w:r>
          </w:p>
        </w:tc>
        <w:tc>
          <w:tcPr>
            <w:tcW w:w="851"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318</w:t>
            </w:r>
          </w:p>
        </w:tc>
        <w:tc>
          <w:tcPr>
            <w:tcW w:w="850"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394</w:t>
            </w:r>
          </w:p>
        </w:tc>
        <w:tc>
          <w:tcPr>
            <w:tcW w:w="851"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29</w:t>
            </w:r>
          </w:p>
        </w:tc>
        <w:tc>
          <w:tcPr>
            <w:tcW w:w="709"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r>
      <w:tr w:rsidR="00CA083C">
        <w:trPr>
          <w:trHeight w:val="285"/>
          <w:jc w:val="center"/>
        </w:trPr>
        <w:tc>
          <w:tcPr>
            <w:tcW w:w="1271"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博士签约</w:t>
            </w:r>
          </w:p>
        </w:tc>
        <w:tc>
          <w:tcPr>
            <w:tcW w:w="851"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4</w:t>
            </w:r>
          </w:p>
        </w:tc>
        <w:tc>
          <w:tcPr>
            <w:tcW w:w="992"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77</w:t>
            </w:r>
          </w:p>
        </w:tc>
        <w:tc>
          <w:tcPr>
            <w:tcW w:w="1276"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c>
          <w:tcPr>
            <w:tcW w:w="992"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5</w:t>
            </w:r>
          </w:p>
        </w:tc>
        <w:tc>
          <w:tcPr>
            <w:tcW w:w="992"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c>
          <w:tcPr>
            <w:tcW w:w="992"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44</w:t>
            </w:r>
          </w:p>
        </w:tc>
        <w:tc>
          <w:tcPr>
            <w:tcW w:w="851"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11</w:t>
            </w:r>
          </w:p>
        </w:tc>
        <w:tc>
          <w:tcPr>
            <w:tcW w:w="850"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9</w:t>
            </w:r>
          </w:p>
        </w:tc>
        <w:tc>
          <w:tcPr>
            <w:tcW w:w="851"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c>
          <w:tcPr>
            <w:tcW w:w="709"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r>
    </w:tbl>
    <w:p w:rsidR="00CA083C" w:rsidRDefault="00CA083C">
      <w:pPr>
        <w:spacing w:line="560" w:lineRule="exact"/>
        <w:rPr>
          <w:rFonts w:ascii="宋体" w:eastAsia="宋体" w:hAnsi="宋体"/>
          <w:b/>
          <w:bCs/>
          <w:color w:val="000000"/>
          <w:sz w:val="21"/>
          <w:szCs w:val="21"/>
        </w:rPr>
      </w:pPr>
    </w:p>
    <w:p w:rsidR="00CA083C" w:rsidRDefault="00771C28">
      <w:pPr>
        <w:spacing w:line="560" w:lineRule="exact"/>
        <w:rPr>
          <w:rFonts w:ascii="宋体" w:eastAsia="宋体" w:hAnsi="宋体"/>
          <w:b/>
          <w:bCs/>
          <w:color w:val="000000"/>
          <w:szCs w:val="21"/>
        </w:rPr>
      </w:pPr>
      <w:r>
        <w:rPr>
          <w:rFonts w:ascii="宋体" w:eastAsia="宋体" w:hAnsi="宋体"/>
          <w:b/>
          <w:bCs/>
          <w:color w:val="000000"/>
          <w:sz w:val="21"/>
          <w:szCs w:val="21"/>
        </w:rPr>
        <w:t xml:space="preserve">表3 </w:t>
      </w:r>
      <w:r>
        <w:rPr>
          <w:rFonts w:ascii="宋体" w:eastAsia="宋体" w:hAnsi="宋体" w:hint="eastAsia"/>
          <w:b/>
          <w:bCs/>
          <w:color w:val="000000"/>
          <w:sz w:val="21"/>
          <w:szCs w:val="21"/>
        </w:rPr>
        <w:t>签约单位地域分布</w:t>
      </w:r>
    </w:p>
    <w:tbl>
      <w:tblPr>
        <w:tblW w:w="8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360"/>
        <w:gridCol w:w="1416"/>
        <w:gridCol w:w="1416"/>
        <w:gridCol w:w="1520"/>
        <w:gridCol w:w="1235"/>
        <w:gridCol w:w="1133"/>
      </w:tblGrid>
      <w:tr w:rsidR="00CA083C">
        <w:trPr>
          <w:trHeight w:val="285"/>
          <w:jc w:val="center"/>
        </w:trPr>
        <w:tc>
          <w:tcPr>
            <w:tcW w:w="1360" w:type="dxa"/>
            <w:shd w:val="clear" w:color="auto" w:fill="auto"/>
            <w:noWrap/>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单位地域</w:t>
            </w:r>
          </w:p>
        </w:tc>
        <w:tc>
          <w:tcPr>
            <w:tcW w:w="1416"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本省</w:t>
            </w:r>
          </w:p>
        </w:tc>
        <w:tc>
          <w:tcPr>
            <w:tcW w:w="1416"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东部地区</w:t>
            </w:r>
          </w:p>
        </w:tc>
        <w:tc>
          <w:tcPr>
            <w:tcW w:w="1520"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中部地区</w:t>
            </w:r>
          </w:p>
        </w:tc>
        <w:tc>
          <w:tcPr>
            <w:tcW w:w="1235"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西部地区</w:t>
            </w:r>
          </w:p>
        </w:tc>
        <w:tc>
          <w:tcPr>
            <w:tcW w:w="1133" w:type="dxa"/>
            <w:shd w:val="clear" w:color="auto" w:fill="auto"/>
            <w:vAlign w:val="center"/>
          </w:tcPr>
          <w:p w:rsidR="00CA083C" w:rsidRDefault="00771C28">
            <w:pPr>
              <w:widowControl/>
              <w:spacing w:line="560" w:lineRule="exact"/>
              <w:jc w:val="center"/>
              <w:rPr>
                <w:rFonts w:ascii="仿宋_GB2312" w:eastAsia="仿宋_GB2312" w:hAnsi="等线" w:cs="宋体"/>
                <w:b/>
                <w:bCs/>
                <w:color w:val="000000"/>
                <w:kern w:val="0"/>
                <w:sz w:val="24"/>
              </w:rPr>
            </w:pPr>
            <w:r>
              <w:rPr>
                <w:rFonts w:ascii="仿宋_GB2312" w:eastAsia="仿宋_GB2312" w:hAnsi="等线" w:cs="宋体" w:hint="eastAsia"/>
                <w:b/>
                <w:bCs/>
                <w:color w:val="000000"/>
                <w:kern w:val="0"/>
                <w:sz w:val="24"/>
              </w:rPr>
              <w:t>境外</w:t>
            </w:r>
          </w:p>
        </w:tc>
      </w:tr>
      <w:tr w:rsidR="00CA083C">
        <w:trPr>
          <w:trHeight w:val="285"/>
          <w:jc w:val="center"/>
        </w:trPr>
        <w:tc>
          <w:tcPr>
            <w:tcW w:w="1360" w:type="dxa"/>
            <w:shd w:val="clear" w:color="auto" w:fill="auto"/>
            <w:noWrap/>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硕士</w:t>
            </w:r>
          </w:p>
        </w:tc>
        <w:tc>
          <w:tcPr>
            <w:tcW w:w="1416"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630(77.8%)</w:t>
            </w:r>
          </w:p>
        </w:tc>
        <w:tc>
          <w:tcPr>
            <w:tcW w:w="1416"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104(12.8%)</w:t>
            </w:r>
          </w:p>
        </w:tc>
        <w:tc>
          <w:tcPr>
            <w:tcW w:w="1520"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55(6.8%)</w:t>
            </w:r>
          </w:p>
        </w:tc>
        <w:tc>
          <w:tcPr>
            <w:tcW w:w="1235"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20(2.5%)</w:t>
            </w:r>
          </w:p>
        </w:tc>
        <w:tc>
          <w:tcPr>
            <w:tcW w:w="1133"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1(0.1%)</w:t>
            </w:r>
          </w:p>
        </w:tc>
      </w:tr>
      <w:tr w:rsidR="00CA083C">
        <w:trPr>
          <w:trHeight w:val="300"/>
          <w:jc w:val="center"/>
        </w:trPr>
        <w:tc>
          <w:tcPr>
            <w:tcW w:w="1360" w:type="dxa"/>
            <w:shd w:val="clear" w:color="auto" w:fill="auto"/>
            <w:noWrap/>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博士</w:t>
            </w:r>
          </w:p>
        </w:tc>
        <w:tc>
          <w:tcPr>
            <w:tcW w:w="1416"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117(78%)</w:t>
            </w:r>
          </w:p>
        </w:tc>
        <w:tc>
          <w:tcPr>
            <w:tcW w:w="1416"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9(6%)</w:t>
            </w:r>
          </w:p>
        </w:tc>
        <w:tc>
          <w:tcPr>
            <w:tcW w:w="1520"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20(13.3%)</w:t>
            </w:r>
          </w:p>
        </w:tc>
        <w:tc>
          <w:tcPr>
            <w:tcW w:w="1235"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3(2%)</w:t>
            </w:r>
          </w:p>
        </w:tc>
        <w:tc>
          <w:tcPr>
            <w:tcW w:w="1133" w:type="dxa"/>
            <w:shd w:val="clear" w:color="auto" w:fill="auto"/>
            <w:vAlign w:val="center"/>
          </w:tcPr>
          <w:p w:rsidR="00CA083C" w:rsidRDefault="00771C28">
            <w:pPr>
              <w:widowControl/>
              <w:spacing w:line="560" w:lineRule="exact"/>
              <w:jc w:val="center"/>
              <w:rPr>
                <w:rFonts w:ascii="仿宋_GB2312" w:eastAsia="仿宋_GB2312" w:hAnsi="等线" w:cs="宋体"/>
                <w:color w:val="000000"/>
                <w:kern w:val="0"/>
                <w:sz w:val="24"/>
              </w:rPr>
            </w:pPr>
            <w:r>
              <w:rPr>
                <w:rFonts w:ascii="仿宋_GB2312" w:eastAsia="仿宋_GB2312" w:hAnsi="等线" w:cs="宋体" w:hint="eastAsia"/>
                <w:color w:val="000000"/>
                <w:kern w:val="0"/>
                <w:sz w:val="24"/>
              </w:rPr>
              <w:t>0(%)</w:t>
            </w:r>
          </w:p>
        </w:tc>
      </w:tr>
    </w:tbl>
    <w:p w:rsidR="00CA083C" w:rsidRDefault="00771C28">
      <w:pPr>
        <w:spacing w:line="560" w:lineRule="exact"/>
        <w:rPr>
          <w:rFonts w:ascii="宋体" w:eastAsia="宋体" w:hAnsi="宋体"/>
          <w:b/>
          <w:bCs/>
          <w:color w:val="000000"/>
          <w:sz w:val="21"/>
          <w:szCs w:val="21"/>
        </w:rPr>
      </w:pPr>
      <w:r>
        <w:rPr>
          <w:rFonts w:ascii="宋体" w:eastAsia="宋体" w:hAnsi="宋体"/>
          <w:b/>
          <w:bCs/>
          <w:color w:val="000000"/>
          <w:sz w:val="21"/>
          <w:szCs w:val="21"/>
        </w:rPr>
        <w:t xml:space="preserve"> </w:t>
      </w:r>
    </w:p>
    <w:p w:rsidR="00CA083C" w:rsidRDefault="00771C28">
      <w:pPr>
        <w:pStyle w:val="3"/>
        <w:spacing w:line="560" w:lineRule="exact"/>
        <w:ind w:firstLine="480"/>
        <w:rPr>
          <w:rFonts w:ascii="仿宋" w:eastAsia="仿宋" w:hAnsi="仿宋"/>
          <w:sz w:val="24"/>
          <w:szCs w:val="24"/>
        </w:rPr>
      </w:pPr>
      <w:r>
        <w:rPr>
          <w:rFonts w:ascii="仿宋" w:eastAsia="仿宋" w:hAnsi="仿宋" w:hint="eastAsia"/>
          <w:sz w:val="24"/>
          <w:szCs w:val="24"/>
        </w:rPr>
        <w:t>本学位点</w:t>
      </w:r>
      <w:r>
        <w:rPr>
          <w:rFonts w:ascii="仿宋" w:eastAsia="仿宋" w:hAnsi="仿宋"/>
          <w:sz w:val="24"/>
          <w:szCs w:val="24"/>
        </w:rPr>
        <w:t>硕士毕业生的就业主要集中在金融行业和</w:t>
      </w:r>
      <w:r>
        <w:rPr>
          <w:rFonts w:ascii="仿宋" w:eastAsia="仿宋" w:hAnsi="仿宋" w:hint="eastAsia"/>
          <w:sz w:val="24"/>
          <w:szCs w:val="24"/>
        </w:rPr>
        <w:t>其他</w:t>
      </w:r>
      <w:r>
        <w:rPr>
          <w:rFonts w:ascii="仿宋" w:eastAsia="仿宋" w:hAnsi="仿宋"/>
          <w:sz w:val="24"/>
          <w:szCs w:val="24"/>
        </w:rPr>
        <w:t>企事业单位，博士毕业生主要集中在高等教育科研单位</w:t>
      </w:r>
      <w:r>
        <w:rPr>
          <w:rFonts w:ascii="仿宋" w:eastAsia="仿宋" w:hAnsi="仿宋" w:hint="eastAsia"/>
          <w:sz w:val="24"/>
          <w:szCs w:val="24"/>
        </w:rPr>
        <w:t>；就业地域方面</w:t>
      </w:r>
      <w:r>
        <w:rPr>
          <w:rFonts w:ascii="仿宋" w:eastAsia="仿宋" w:hAnsi="仿宋"/>
          <w:sz w:val="24"/>
          <w:szCs w:val="24"/>
        </w:rPr>
        <w:t>，超过7成的研究生都选择留在广东就业，其中以广州市最多，其次为深圳</w:t>
      </w:r>
      <w:r>
        <w:rPr>
          <w:rFonts w:ascii="仿宋" w:eastAsia="仿宋" w:hAnsi="仿宋" w:hint="eastAsia"/>
          <w:sz w:val="24"/>
          <w:szCs w:val="24"/>
        </w:rPr>
        <w:t>；同时，毕业生积极投身国家艰苦地区和基层建设，到西部就业的毕业生结合专业特点，在金融、证券、保险等行业服务西部经济建设，充分发挥自身专业优势，为国家建设贡献自己的力量，少干计划毕业生秉承“以投身西部为荣、以服务基层为荣”的理念，利用专业所学投身西部基层建设。</w:t>
      </w:r>
    </w:p>
    <w:p w:rsidR="00CA083C" w:rsidRDefault="00771C28">
      <w:pPr>
        <w:spacing w:line="560" w:lineRule="exact"/>
        <w:rPr>
          <w:rFonts w:ascii="黑体" w:eastAsia="黑体" w:hAnsi="黑体"/>
        </w:rPr>
      </w:pPr>
      <w:bookmarkStart w:id="3" w:name="_Hlk88938404"/>
      <w:r>
        <w:rPr>
          <w:rFonts w:ascii="黑体" w:eastAsia="黑体" w:hAnsi="黑体" w:hint="eastAsia"/>
        </w:rPr>
        <w:t xml:space="preserve">（四）服务贡献 </w:t>
      </w:r>
    </w:p>
    <w:bookmarkEnd w:id="3"/>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学科依托完整的学科体系和科研实力，积极服务国家和地方经济社会发展。</w:t>
      </w:r>
    </w:p>
    <w:p w:rsidR="00CA083C" w:rsidRDefault="00771C28">
      <w:pPr>
        <w:spacing w:line="560" w:lineRule="exact"/>
        <w:ind w:firstLineChars="200" w:firstLine="480"/>
        <w:rPr>
          <w:rFonts w:ascii="仿宋" w:eastAsia="仿宋" w:hAnsi="仿宋"/>
          <w:sz w:val="24"/>
        </w:rPr>
      </w:pPr>
      <w:r>
        <w:rPr>
          <w:rFonts w:ascii="黑体" w:eastAsia="黑体" w:hAnsi="黑体" w:hint="eastAsia"/>
          <w:sz w:val="24"/>
        </w:rPr>
        <w:t>1.宣讲中央精神。</w:t>
      </w:r>
      <w:r>
        <w:rPr>
          <w:rFonts w:ascii="仿宋" w:eastAsia="仿宋" w:hAnsi="仿宋" w:hint="eastAsia"/>
          <w:sz w:val="24"/>
        </w:rPr>
        <w:t xml:space="preserve">学科教师是面向粤港澳大湾区宣传习近平总书记重要讲话精神和国内外经济政治形势的重要力量。教师紧跟中央形势坚持理论学习，20 </w:t>
      </w:r>
      <w:proofErr w:type="gramStart"/>
      <w:r>
        <w:rPr>
          <w:rFonts w:ascii="仿宋" w:eastAsia="仿宋" w:hAnsi="仿宋" w:hint="eastAsia"/>
          <w:sz w:val="24"/>
        </w:rPr>
        <w:t>余位教师</w:t>
      </w:r>
      <w:proofErr w:type="gramEnd"/>
      <w:r>
        <w:rPr>
          <w:rFonts w:ascii="仿宋" w:eastAsia="仿宋" w:hAnsi="仿宋" w:hint="eastAsia"/>
          <w:sz w:val="24"/>
        </w:rPr>
        <w:t>担任广东省委宣传部经济形势宣讲团成员广东省委“两学一做”巡回宣讲团成员、学校党的十九大精神宣讲团成员等，为广东省直机关、广州市直机关、国务院侨办等中央部委相关涉外培训班、香港特别行政区公务员培训班、澳门公务员培训班等开展习近平总书记系列重要讲话精神、国内外经济形势新格局等相关专题讲座数百场，受众（含线上）达20余万人次,是粤港澳大湾区经济政治形势宣传的重要力量。</w:t>
      </w:r>
    </w:p>
    <w:p w:rsidR="00CA083C" w:rsidRDefault="00771C28">
      <w:pPr>
        <w:spacing w:line="560" w:lineRule="exact"/>
        <w:ind w:firstLineChars="200" w:firstLine="480"/>
        <w:rPr>
          <w:rFonts w:ascii="仿宋" w:eastAsia="仿宋" w:hAnsi="仿宋"/>
          <w:sz w:val="24"/>
        </w:rPr>
      </w:pPr>
      <w:r>
        <w:rPr>
          <w:rFonts w:ascii="黑体" w:eastAsia="黑体" w:hAnsi="黑体" w:hint="eastAsia"/>
          <w:sz w:val="24"/>
        </w:rPr>
        <w:t>2</w:t>
      </w:r>
      <w:r>
        <w:rPr>
          <w:rFonts w:ascii="黑体" w:eastAsia="黑体" w:hAnsi="黑体"/>
          <w:sz w:val="24"/>
        </w:rPr>
        <w:t>.</w:t>
      </w:r>
      <w:r>
        <w:rPr>
          <w:rFonts w:ascii="黑体" w:eastAsia="黑体" w:hAnsi="黑体" w:hint="eastAsia"/>
          <w:sz w:val="24"/>
        </w:rPr>
        <w:t>拓展国际</w:t>
      </w:r>
      <w:r>
        <w:rPr>
          <w:rFonts w:ascii="黑体" w:eastAsia="黑体" w:hAnsi="黑体"/>
          <w:sz w:val="24"/>
        </w:rPr>
        <w:t>人文交流。</w:t>
      </w:r>
      <w:r>
        <w:rPr>
          <w:rFonts w:ascii="仿宋" w:eastAsia="仿宋" w:hAnsi="仿宋"/>
          <w:sz w:val="24"/>
        </w:rPr>
        <w:t>依托</w:t>
      </w:r>
      <w:r>
        <w:rPr>
          <w:rFonts w:ascii="仿宋" w:eastAsia="仿宋" w:hAnsi="仿宋" w:hint="eastAsia"/>
          <w:sz w:val="24"/>
        </w:rPr>
        <w:t>国家级</w:t>
      </w:r>
      <w:r>
        <w:rPr>
          <w:rFonts w:ascii="仿宋" w:eastAsia="仿宋" w:hAnsi="仿宋"/>
          <w:sz w:val="24"/>
        </w:rPr>
        <w:t>引智基地，</w:t>
      </w:r>
      <w:proofErr w:type="gramStart"/>
      <w:r>
        <w:rPr>
          <w:rFonts w:ascii="仿宋" w:eastAsia="仿宋" w:hAnsi="仿宋"/>
          <w:sz w:val="24"/>
        </w:rPr>
        <w:t>与诺奖得主</w:t>
      </w:r>
      <w:proofErr w:type="gramEnd"/>
      <w:r>
        <w:rPr>
          <w:rFonts w:ascii="仿宋" w:eastAsia="仿宋" w:hAnsi="仿宋"/>
          <w:sz w:val="24"/>
        </w:rPr>
        <w:t>赫克曼教授开展深度合作；创建“芝加哥-暨南人类发展研究联合计划”，致力于人口流动、收入不平等</w:t>
      </w:r>
      <w:r>
        <w:rPr>
          <w:rFonts w:ascii="仿宋" w:eastAsia="仿宋" w:hAnsi="仿宋" w:hint="eastAsia"/>
          <w:sz w:val="24"/>
        </w:rPr>
        <w:t>、乡村振兴</w:t>
      </w:r>
      <w:r>
        <w:rPr>
          <w:rFonts w:ascii="仿宋" w:eastAsia="仿宋" w:hAnsi="仿宋"/>
          <w:sz w:val="24"/>
        </w:rPr>
        <w:t>等重大问题研究。经由暨南大学推荐，赫克曼教授荣获“中国政府友谊奖”。</w:t>
      </w:r>
      <w:r>
        <w:rPr>
          <w:rFonts w:ascii="仿宋" w:eastAsia="仿宋" w:hAnsi="仿宋" w:hint="eastAsia"/>
          <w:sz w:val="24"/>
        </w:rPr>
        <w:t xml:space="preserve">2020年，芝加哥大学经济学教授、Journal of Political Economy共同主编（Editor）Greg Kaplan教授，哈佛大学教授、全球著名城市经济学家、《城市的胜利》作者Edward </w:t>
      </w:r>
      <w:proofErr w:type="spellStart"/>
      <w:r>
        <w:rPr>
          <w:rFonts w:ascii="仿宋" w:eastAsia="仿宋" w:hAnsi="仿宋" w:hint="eastAsia"/>
          <w:sz w:val="24"/>
        </w:rPr>
        <w:t>Glaeser</w:t>
      </w:r>
      <w:proofErr w:type="spellEnd"/>
      <w:r>
        <w:rPr>
          <w:rFonts w:ascii="仿宋" w:eastAsia="仿宋" w:hAnsi="仿宋" w:hint="eastAsia"/>
          <w:sz w:val="24"/>
        </w:rPr>
        <w:t>教授等全球知名学者受“大师暨南行”邀请，开展线上学术讲座交流，引起广泛反响。</w:t>
      </w:r>
    </w:p>
    <w:p w:rsidR="00CA083C" w:rsidRDefault="00771C28">
      <w:pPr>
        <w:spacing w:line="560" w:lineRule="exact"/>
        <w:ind w:firstLineChars="200" w:firstLine="480"/>
        <w:rPr>
          <w:rFonts w:ascii="仿宋" w:eastAsia="仿宋" w:hAnsi="仿宋"/>
          <w:sz w:val="24"/>
        </w:rPr>
      </w:pPr>
      <w:r>
        <w:rPr>
          <w:rFonts w:ascii="黑体" w:eastAsia="黑体" w:hAnsi="黑体" w:hint="eastAsia"/>
          <w:sz w:val="24"/>
        </w:rPr>
        <w:t>3.积极建言献策。</w:t>
      </w:r>
      <w:r>
        <w:rPr>
          <w:rFonts w:ascii="仿宋" w:eastAsia="仿宋" w:hAnsi="仿宋" w:hint="eastAsia"/>
          <w:sz w:val="24"/>
        </w:rPr>
        <w:t>学科教师发布新冠肺炎、粤港澳大湾区26条金融支持政策解读、</w:t>
      </w:r>
      <w:proofErr w:type="gramStart"/>
      <w:r>
        <w:rPr>
          <w:rFonts w:ascii="仿宋" w:eastAsia="仿宋" w:hAnsi="仿宋" w:hint="eastAsia"/>
          <w:sz w:val="24"/>
        </w:rPr>
        <w:t>两会热点</w:t>
      </w:r>
      <w:proofErr w:type="gramEnd"/>
      <w:r>
        <w:rPr>
          <w:rFonts w:ascii="仿宋" w:eastAsia="仿宋" w:hAnsi="仿宋" w:hint="eastAsia"/>
          <w:sz w:val="24"/>
        </w:rPr>
        <w:t>解读等相关研究成果数十篇。7项成果获得国家级及省市领导批示，其中1项获得中共中央政治局常委、国务院总理李克强批示。</w:t>
      </w:r>
      <w:r>
        <w:rPr>
          <w:rFonts w:ascii="仿宋" w:eastAsia="仿宋" w:hAnsi="仿宋"/>
          <w:sz w:val="24"/>
        </w:rPr>
        <w:t>发挥金融学、产业经济学国家重点学科优势，依托广东省协同创新中心及3个省级重点研究基地，围绕防范金融风险与金融强省、乡村振兴与脱贫攻坚、现代产业体系与经济高质量发展等重大发展战略问题，向各级政府提供上百份研究与决策咨询报告，得到各级领导的充分肯定</w:t>
      </w:r>
      <w:r>
        <w:rPr>
          <w:rFonts w:ascii="仿宋" w:eastAsia="仿宋" w:hAnsi="仿宋" w:hint="eastAsia"/>
          <w:sz w:val="24"/>
        </w:rPr>
        <w:t>。</w:t>
      </w:r>
    </w:p>
    <w:p w:rsidR="00CA083C" w:rsidRDefault="00771C28">
      <w:pPr>
        <w:spacing w:line="560" w:lineRule="exact"/>
        <w:ind w:firstLineChars="200" w:firstLine="480"/>
        <w:rPr>
          <w:rFonts w:ascii="仿宋" w:eastAsia="仿宋" w:hAnsi="仿宋"/>
          <w:sz w:val="24"/>
        </w:rPr>
      </w:pPr>
      <w:r>
        <w:rPr>
          <w:rFonts w:ascii="黑体" w:eastAsia="黑体" w:hAnsi="黑体"/>
          <w:sz w:val="24"/>
        </w:rPr>
        <w:t>4.</w:t>
      </w:r>
      <w:r>
        <w:rPr>
          <w:rFonts w:ascii="黑体" w:eastAsia="黑体" w:hAnsi="黑体" w:hint="eastAsia"/>
          <w:sz w:val="24"/>
        </w:rPr>
        <w:t>打造高端</w:t>
      </w:r>
      <w:r>
        <w:rPr>
          <w:rFonts w:ascii="黑体" w:eastAsia="黑体" w:hAnsi="黑体"/>
          <w:sz w:val="24"/>
        </w:rPr>
        <w:t>智库。</w:t>
      </w:r>
      <w:r>
        <w:rPr>
          <w:rFonts w:ascii="仿宋" w:eastAsia="仿宋" w:hAnsi="仿宋"/>
          <w:sz w:val="24"/>
        </w:rPr>
        <w:t>以平台建设为抓手，打造服务粤港澳大湾区 “智高点”。紧紧围绕国家所需、湾区所向，发挥暨大所长，建设多个高端智库：</w:t>
      </w:r>
      <w:r>
        <w:rPr>
          <w:rFonts w:ascii="仿宋" w:eastAsia="仿宋" w:hAnsi="仿宋" w:hint="eastAsia"/>
          <w:sz w:val="24"/>
        </w:rPr>
        <w:t>南方高等金融研究院、乡村振兴研究院、</w:t>
      </w:r>
      <w:r>
        <w:rPr>
          <w:rFonts w:ascii="仿宋" w:eastAsia="仿宋" w:hAnsi="仿宋"/>
          <w:sz w:val="24"/>
        </w:rPr>
        <w:t>特区港澳经济研究所（主体）、广东产业发展与粤港澳台区域合作研究中心、粤港澳大湾区经济发展研究中心、“一带一路”与粤港澳大湾区研究院（</w:t>
      </w:r>
      <w:proofErr w:type="gramStart"/>
      <w:r>
        <w:rPr>
          <w:rFonts w:ascii="仿宋" w:eastAsia="仿宋" w:hAnsi="仿宋"/>
          <w:sz w:val="24"/>
        </w:rPr>
        <w:t>国家发改委</w:t>
      </w:r>
      <w:proofErr w:type="gramEnd"/>
      <w:r>
        <w:rPr>
          <w:rFonts w:ascii="仿宋" w:eastAsia="仿宋" w:hAnsi="仿宋"/>
          <w:sz w:val="24"/>
        </w:rPr>
        <w:t>共建）、中国自由贸易试验区研究院，已经成为服务</w:t>
      </w:r>
      <w:r>
        <w:rPr>
          <w:rFonts w:ascii="仿宋" w:eastAsia="仿宋" w:hAnsi="仿宋" w:hint="eastAsia"/>
          <w:sz w:val="24"/>
        </w:rPr>
        <w:t>国家经济社会高质量发展和</w:t>
      </w:r>
      <w:r>
        <w:rPr>
          <w:rFonts w:ascii="仿宋" w:eastAsia="仿宋" w:hAnsi="仿宋"/>
          <w:sz w:val="24"/>
        </w:rPr>
        <w:t>粤港澳大湾区建设的重要智库群。</w:t>
      </w:r>
    </w:p>
    <w:p w:rsidR="00CA083C" w:rsidRDefault="00771C28">
      <w:pPr>
        <w:spacing w:line="560" w:lineRule="exact"/>
        <w:rPr>
          <w:rFonts w:ascii="黑体" w:eastAsia="黑体" w:hAnsi="黑体"/>
        </w:rPr>
      </w:pPr>
      <w:r>
        <w:rPr>
          <w:rFonts w:ascii="黑体" w:eastAsia="黑体" w:hAnsi="黑体" w:hint="eastAsia"/>
        </w:rPr>
        <w:t>二、自我评估开展情况</w:t>
      </w:r>
    </w:p>
    <w:p w:rsidR="00CA083C" w:rsidRDefault="00771C28">
      <w:pPr>
        <w:spacing w:line="560" w:lineRule="exact"/>
        <w:rPr>
          <w:rFonts w:ascii="黑体" w:eastAsia="黑体" w:hAnsi="黑体"/>
        </w:rPr>
      </w:pPr>
      <w:r>
        <w:rPr>
          <w:rFonts w:ascii="黑体" w:eastAsia="黑体" w:hAnsi="黑体" w:hint="eastAsia"/>
        </w:rPr>
        <w:t>（一）组织架构</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学校研究生院、学院、学位点所在系三级机构设有领导小组或工作小组，实行三级联动。学校进行工作总体布局，文件解读，日程安排、工作流程及具体要求，学院和专业学位点加以具体实施。学院成立了学院自评工作领导小组和3个参评一级学科博士授权点的工作小组，负责落实相关评估材料申报、专家评审等工作。本学位点在学院和学科负责人统筹下，学科组成员和各二级学科负责人作为主成员参与会议讨论与材料准备。</w:t>
      </w:r>
    </w:p>
    <w:p w:rsidR="00CA083C" w:rsidRDefault="00771C28">
      <w:pPr>
        <w:spacing w:line="560" w:lineRule="exact"/>
        <w:rPr>
          <w:rFonts w:ascii="黑体" w:eastAsia="黑体" w:hAnsi="黑体"/>
        </w:rPr>
      </w:pPr>
      <w:r>
        <w:rPr>
          <w:rFonts w:ascii="黑体" w:eastAsia="黑体" w:hAnsi="黑体" w:hint="eastAsia"/>
        </w:rPr>
        <w:t>（二）工作日程</w:t>
      </w:r>
    </w:p>
    <w:p w:rsidR="00CA083C" w:rsidRDefault="00771C28">
      <w:pPr>
        <w:spacing w:line="560" w:lineRule="exact"/>
        <w:ind w:firstLineChars="200" w:firstLine="480"/>
        <w:rPr>
          <w:rFonts w:ascii="黑体" w:eastAsia="黑体" w:hAnsi="黑体"/>
          <w:sz w:val="24"/>
        </w:rPr>
      </w:pPr>
      <w:r>
        <w:rPr>
          <w:rFonts w:ascii="黑体" w:eastAsia="黑体" w:hAnsi="黑体" w:hint="eastAsia"/>
          <w:sz w:val="24"/>
        </w:rPr>
        <w:t>1.20</w:t>
      </w:r>
      <w:r>
        <w:rPr>
          <w:rFonts w:ascii="黑体" w:eastAsia="黑体" w:hAnsi="黑体"/>
          <w:sz w:val="24"/>
        </w:rPr>
        <w:t>21</w:t>
      </w:r>
      <w:r>
        <w:rPr>
          <w:rFonts w:ascii="黑体" w:eastAsia="黑体" w:hAnsi="黑体" w:hint="eastAsia"/>
          <w:sz w:val="24"/>
        </w:rPr>
        <w:t>年</w:t>
      </w:r>
      <w:r>
        <w:rPr>
          <w:rFonts w:ascii="黑体" w:eastAsia="黑体" w:hAnsi="黑体"/>
          <w:sz w:val="24"/>
        </w:rPr>
        <w:t>6</w:t>
      </w:r>
      <w:r>
        <w:rPr>
          <w:rFonts w:ascii="黑体" w:eastAsia="黑体" w:hAnsi="黑体" w:hint="eastAsia"/>
          <w:sz w:val="24"/>
        </w:rPr>
        <w:t>-1</w:t>
      </w:r>
      <w:r>
        <w:rPr>
          <w:rFonts w:ascii="黑体" w:eastAsia="黑体" w:hAnsi="黑体"/>
          <w:sz w:val="24"/>
        </w:rPr>
        <w:t>1</w:t>
      </w:r>
      <w:r>
        <w:rPr>
          <w:rFonts w:ascii="黑体" w:eastAsia="黑体" w:hAnsi="黑体" w:hint="eastAsia"/>
          <w:sz w:val="24"/>
        </w:rPr>
        <w:t>月完成材料准备和内部论证。</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（1）完成相关附表和证明材料的收集整理，撰写学位授权点评估总结报告初稿。</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（2）内部论证与评价</w:t>
      </w:r>
      <w:r>
        <w:rPr>
          <w:rFonts w:ascii="仿宋" w:eastAsia="仿宋" w:hAnsi="仿宋"/>
          <w:sz w:val="24"/>
        </w:rPr>
        <w:t>:</w:t>
      </w:r>
      <w:r>
        <w:rPr>
          <w:rFonts w:ascii="仿宋" w:eastAsia="仿宋" w:hAnsi="仿宋" w:hint="eastAsia"/>
          <w:sz w:val="24"/>
        </w:rPr>
        <w:t>召开本学位</w:t>
      </w:r>
      <w:proofErr w:type="gramStart"/>
      <w:r>
        <w:rPr>
          <w:rFonts w:ascii="仿宋" w:eastAsia="仿宋" w:hAnsi="仿宋" w:hint="eastAsia"/>
          <w:sz w:val="24"/>
        </w:rPr>
        <w:t>点全体</w:t>
      </w:r>
      <w:proofErr w:type="gramEnd"/>
      <w:r>
        <w:rPr>
          <w:rFonts w:ascii="仿宋" w:eastAsia="仿宋" w:hAnsi="仿宋" w:hint="eastAsia"/>
          <w:sz w:val="24"/>
        </w:rPr>
        <w:t>导师会议和骨干成员会议，根据学位授权点自我评估体系、参照</w:t>
      </w:r>
      <w:r>
        <w:rPr>
          <w:rFonts w:ascii="仿宋" w:eastAsia="仿宋" w:hAnsi="仿宋"/>
          <w:sz w:val="24"/>
        </w:rPr>
        <w:t>2021</w:t>
      </w:r>
      <w:r>
        <w:rPr>
          <w:rFonts w:ascii="仿宋" w:eastAsia="仿宋" w:hAnsi="仿宋" w:hint="eastAsia"/>
          <w:sz w:val="24"/>
        </w:rPr>
        <w:t>年国家同层次授权点基本条件，对学位授权点的自评材料进行论证，全面、系统地衡量本学位授权点的真实水平和人才培养质量，查找存在的问题和不足，并</w:t>
      </w:r>
      <w:proofErr w:type="gramStart"/>
      <w:r>
        <w:rPr>
          <w:rFonts w:ascii="仿宋" w:eastAsia="仿宋" w:hAnsi="仿宋" w:hint="eastAsia"/>
          <w:sz w:val="24"/>
        </w:rPr>
        <w:t>作出</w:t>
      </w:r>
      <w:proofErr w:type="gramEnd"/>
      <w:r>
        <w:rPr>
          <w:rFonts w:ascii="仿宋" w:eastAsia="仿宋" w:hAnsi="仿宋" w:hint="eastAsia"/>
          <w:sz w:val="24"/>
        </w:rPr>
        <w:t>自我评价，不断修改评估总结报告。</w:t>
      </w:r>
    </w:p>
    <w:p w:rsidR="00CA083C" w:rsidRDefault="00771C28">
      <w:pPr>
        <w:spacing w:line="560" w:lineRule="exact"/>
        <w:ind w:firstLineChars="200" w:firstLine="480"/>
        <w:rPr>
          <w:rFonts w:ascii="黑体" w:eastAsia="黑体" w:hAnsi="黑体"/>
          <w:sz w:val="24"/>
        </w:rPr>
      </w:pPr>
      <w:r>
        <w:rPr>
          <w:rFonts w:ascii="黑体" w:eastAsia="黑体" w:hAnsi="黑体" w:hint="eastAsia"/>
          <w:sz w:val="24"/>
        </w:rPr>
        <w:t>2.专家评估</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20</w:t>
      </w:r>
      <w:r>
        <w:rPr>
          <w:rFonts w:ascii="仿宋" w:eastAsia="仿宋" w:hAnsi="仿宋"/>
          <w:sz w:val="24"/>
        </w:rPr>
        <w:t>21</w:t>
      </w:r>
      <w:r>
        <w:rPr>
          <w:rFonts w:ascii="仿宋" w:eastAsia="仿宋" w:hAnsi="仿宋" w:hint="eastAsia"/>
          <w:sz w:val="24"/>
        </w:rPr>
        <w:t>年</w:t>
      </w:r>
      <w:r>
        <w:rPr>
          <w:rFonts w:ascii="仿宋" w:eastAsia="仿宋" w:hAnsi="仿宋"/>
          <w:sz w:val="24"/>
        </w:rPr>
        <w:t>11</w:t>
      </w:r>
      <w:r>
        <w:rPr>
          <w:rFonts w:ascii="仿宋" w:eastAsia="仿宋" w:hAnsi="仿宋" w:hint="eastAsia"/>
          <w:sz w:val="24"/>
        </w:rPr>
        <w:t>月</w:t>
      </w:r>
      <w:r>
        <w:rPr>
          <w:rFonts w:ascii="仿宋" w:eastAsia="仿宋" w:hAnsi="仿宋"/>
          <w:sz w:val="24"/>
        </w:rPr>
        <w:t>29</w:t>
      </w:r>
      <w:r>
        <w:rPr>
          <w:rFonts w:ascii="仿宋" w:eastAsia="仿宋" w:hAnsi="仿宋" w:hint="eastAsia"/>
          <w:sz w:val="24"/>
        </w:rPr>
        <w:t>日邀请应用经济学学科有影响力的外单位同行专家5人通过线上会议进行评估。评审专家听取学位授权点自我评估情况汇报、与应用经济学学科教师代表进行座谈、与研究生代表座谈，并查阅相关材料。随后，评审专家组进行闭门讨论评议，从学位授权点的学科发展、人才培养、师资队伍、科学研究、社会服务和国际合作与交流方面五个方面进行评估和反馈。</w:t>
      </w:r>
    </w:p>
    <w:p w:rsidR="00CA083C" w:rsidRDefault="00771C28">
      <w:pPr>
        <w:spacing w:line="560" w:lineRule="exact"/>
        <w:ind w:firstLineChars="200" w:firstLine="480"/>
        <w:rPr>
          <w:rFonts w:ascii="黑体" w:eastAsia="黑体" w:hAnsi="黑体"/>
          <w:sz w:val="24"/>
        </w:rPr>
      </w:pPr>
      <w:r>
        <w:rPr>
          <w:rFonts w:ascii="黑体" w:eastAsia="黑体" w:hAnsi="黑体" w:hint="eastAsia"/>
          <w:sz w:val="24"/>
        </w:rPr>
        <w:t>3.加强建设，弥补不足，修改完善自评报告。</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根据评估过程中发现的问题和不足，结合评估专家的意见，制定整改方案，加强建设，弥补不足，进一步修改完善自评报告。</w:t>
      </w:r>
    </w:p>
    <w:p w:rsidR="00CA083C" w:rsidRDefault="00771C28">
      <w:pPr>
        <w:spacing w:line="560" w:lineRule="exact"/>
        <w:rPr>
          <w:rFonts w:ascii="黑体" w:eastAsia="黑体" w:hAnsi="黑体"/>
        </w:rPr>
      </w:pPr>
      <w:r>
        <w:rPr>
          <w:rFonts w:ascii="黑体" w:eastAsia="黑体" w:hAnsi="黑体" w:hint="eastAsia"/>
        </w:rPr>
        <w:t>（三)同行专家介绍</w:t>
      </w:r>
    </w:p>
    <w:tbl>
      <w:tblPr>
        <w:tblStyle w:val="ab"/>
        <w:tblW w:w="9195" w:type="dxa"/>
        <w:jc w:val="center"/>
        <w:tblLook w:val="04A0" w:firstRow="1" w:lastRow="0" w:firstColumn="1" w:lastColumn="0" w:noHBand="0" w:noVBand="1"/>
      </w:tblPr>
      <w:tblGrid>
        <w:gridCol w:w="1116"/>
        <w:gridCol w:w="1836"/>
        <w:gridCol w:w="3124"/>
        <w:gridCol w:w="3119"/>
      </w:tblGrid>
      <w:tr w:rsidR="00CA083C">
        <w:trPr>
          <w:jc w:val="center"/>
        </w:trPr>
        <w:tc>
          <w:tcPr>
            <w:tcW w:w="1116" w:type="dxa"/>
          </w:tcPr>
          <w:p w:rsidR="00CA083C" w:rsidRDefault="00771C28">
            <w:pPr>
              <w:pStyle w:val="3"/>
              <w:spacing w:line="560" w:lineRule="exact"/>
              <w:ind w:firstLineChars="0" w:firstLine="0"/>
              <w:jc w:val="center"/>
              <w:outlineLvl w:val="2"/>
              <w:rPr>
                <w:rFonts w:ascii="仿宋_GB2312" w:eastAsia="仿宋_GB2312"/>
                <w:b/>
                <w:bCs/>
                <w:sz w:val="24"/>
                <w:szCs w:val="24"/>
              </w:rPr>
            </w:pPr>
            <w:r>
              <w:rPr>
                <w:rFonts w:ascii="仿宋_GB2312" w:eastAsia="仿宋_GB2312" w:hint="eastAsia"/>
                <w:b/>
                <w:bCs/>
                <w:sz w:val="24"/>
                <w:szCs w:val="24"/>
              </w:rPr>
              <w:t>姓名</w:t>
            </w:r>
          </w:p>
        </w:tc>
        <w:tc>
          <w:tcPr>
            <w:tcW w:w="1836" w:type="dxa"/>
          </w:tcPr>
          <w:p w:rsidR="00CA083C" w:rsidRDefault="00771C28">
            <w:pPr>
              <w:pStyle w:val="3"/>
              <w:spacing w:line="560" w:lineRule="exact"/>
              <w:ind w:firstLineChars="0" w:firstLine="0"/>
              <w:jc w:val="center"/>
              <w:outlineLvl w:val="2"/>
              <w:rPr>
                <w:rFonts w:ascii="仿宋_GB2312" w:eastAsia="仿宋_GB2312"/>
                <w:b/>
                <w:bCs/>
                <w:sz w:val="24"/>
                <w:szCs w:val="24"/>
              </w:rPr>
            </w:pPr>
            <w:r>
              <w:rPr>
                <w:rFonts w:ascii="仿宋_GB2312" w:eastAsia="仿宋_GB2312" w:hint="eastAsia"/>
                <w:b/>
                <w:bCs/>
                <w:sz w:val="24"/>
                <w:szCs w:val="24"/>
              </w:rPr>
              <w:t>单位</w:t>
            </w:r>
          </w:p>
        </w:tc>
        <w:tc>
          <w:tcPr>
            <w:tcW w:w="3124" w:type="dxa"/>
          </w:tcPr>
          <w:p w:rsidR="00CA083C" w:rsidRDefault="00771C28">
            <w:pPr>
              <w:pStyle w:val="3"/>
              <w:spacing w:line="560" w:lineRule="exact"/>
              <w:ind w:firstLineChars="0" w:firstLine="0"/>
              <w:jc w:val="center"/>
              <w:outlineLvl w:val="2"/>
              <w:rPr>
                <w:rFonts w:ascii="仿宋_GB2312" w:eastAsia="仿宋_GB2312"/>
                <w:b/>
                <w:bCs/>
                <w:sz w:val="24"/>
                <w:szCs w:val="24"/>
              </w:rPr>
            </w:pPr>
            <w:r>
              <w:rPr>
                <w:rFonts w:ascii="仿宋_GB2312" w:eastAsia="仿宋_GB2312" w:hint="eastAsia"/>
                <w:b/>
                <w:bCs/>
                <w:sz w:val="24"/>
                <w:szCs w:val="24"/>
              </w:rPr>
              <w:t>职务/职称</w:t>
            </w:r>
          </w:p>
        </w:tc>
        <w:tc>
          <w:tcPr>
            <w:tcW w:w="3119" w:type="dxa"/>
          </w:tcPr>
          <w:p w:rsidR="00CA083C" w:rsidRDefault="00771C28">
            <w:pPr>
              <w:pStyle w:val="3"/>
              <w:spacing w:line="560" w:lineRule="exact"/>
              <w:ind w:firstLineChars="0" w:firstLine="0"/>
              <w:jc w:val="center"/>
              <w:outlineLvl w:val="2"/>
              <w:rPr>
                <w:rFonts w:ascii="仿宋_GB2312" w:eastAsia="仿宋_GB2312"/>
                <w:b/>
                <w:bCs/>
                <w:sz w:val="24"/>
                <w:szCs w:val="24"/>
              </w:rPr>
            </w:pPr>
            <w:r>
              <w:rPr>
                <w:rFonts w:ascii="仿宋_GB2312" w:eastAsia="仿宋_GB2312" w:hint="eastAsia"/>
                <w:b/>
                <w:bCs/>
                <w:sz w:val="24"/>
                <w:szCs w:val="24"/>
              </w:rPr>
              <w:t>兼职</w:t>
            </w:r>
          </w:p>
        </w:tc>
      </w:tr>
      <w:tr w:rsidR="00CA083C">
        <w:trPr>
          <w:jc w:val="center"/>
        </w:trPr>
        <w:tc>
          <w:tcPr>
            <w:tcW w:w="1116"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王仁曾</w:t>
            </w:r>
          </w:p>
        </w:tc>
        <w:tc>
          <w:tcPr>
            <w:tcW w:w="1836"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华南理工大学</w:t>
            </w:r>
          </w:p>
        </w:tc>
        <w:tc>
          <w:tcPr>
            <w:tcW w:w="3124"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经济与金融学院原院长，</w:t>
            </w:r>
          </w:p>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教授</w:t>
            </w:r>
          </w:p>
        </w:tc>
        <w:tc>
          <w:tcPr>
            <w:tcW w:w="3119"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广东省第六届学位委员会应用经济学学科评议组成员</w:t>
            </w:r>
          </w:p>
        </w:tc>
      </w:tr>
      <w:tr w:rsidR="00CA083C">
        <w:trPr>
          <w:jc w:val="center"/>
        </w:trPr>
        <w:tc>
          <w:tcPr>
            <w:tcW w:w="1116"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proofErr w:type="gramStart"/>
            <w:r>
              <w:rPr>
                <w:rFonts w:ascii="仿宋_GB2312" w:eastAsia="仿宋_GB2312" w:hint="eastAsia"/>
                <w:sz w:val="24"/>
                <w:szCs w:val="24"/>
              </w:rPr>
              <w:t>方颖</w:t>
            </w:r>
            <w:proofErr w:type="gramEnd"/>
          </w:p>
        </w:tc>
        <w:tc>
          <w:tcPr>
            <w:tcW w:w="1836"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厦门大学</w:t>
            </w:r>
          </w:p>
        </w:tc>
        <w:tc>
          <w:tcPr>
            <w:tcW w:w="3124"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校长助理、研究生院副院长，教授</w:t>
            </w:r>
          </w:p>
        </w:tc>
        <w:tc>
          <w:tcPr>
            <w:tcW w:w="3119" w:type="dxa"/>
            <w:vAlign w:val="center"/>
          </w:tcPr>
          <w:p w:rsidR="00CA083C" w:rsidRDefault="00CA083C">
            <w:pPr>
              <w:pStyle w:val="3"/>
              <w:spacing w:line="400" w:lineRule="exact"/>
              <w:ind w:firstLineChars="0" w:firstLine="0"/>
              <w:jc w:val="center"/>
              <w:outlineLvl w:val="2"/>
              <w:rPr>
                <w:rFonts w:ascii="仿宋_GB2312" w:eastAsia="仿宋_GB2312"/>
                <w:sz w:val="24"/>
                <w:szCs w:val="24"/>
              </w:rPr>
            </w:pPr>
          </w:p>
        </w:tc>
      </w:tr>
      <w:tr w:rsidR="00CA083C">
        <w:trPr>
          <w:jc w:val="center"/>
        </w:trPr>
        <w:tc>
          <w:tcPr>
            <w:tcW w:w="1116"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方红生</w:t>
            </w:r>
          </w:p>
        </w:tc>
        <w:tc>
          <w:tcPr>
            <w:tcW w:w="1836"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浙江大学</w:t>
            </w:r>
          </w:p>
        </w:tc>
        <w:tc>
          <w:tcPr>
            <w:tcW w:w="3124"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经济学院副院长，教授</w:t>
            </w:r>
          </w:p>
        </w:tc>
        <w:tc>
          <w:tcPr>
            <w:tcW w:w="3119" w:type="dxa"/>
            <w:vAlign w:val="center"/>
          </w:tcPr>
          <w:p w:rsidR="00CA083C" w:rsidRDefault="00CA083C">
            <w:pPr>
              <w:pStyle w:val="3"/>
              <w:spacing w:line="400" w:lineRule="exact"/>
              <w:ind w:firstLineChars="0" w:firstLine="0"/>
              <w:jc w:val="center"/>
              <w:outlineLvl w:val="2"/>
              <w:rPr>
                <w:rFonts w:ascii="仿宋_GB2312" w:eastAsia="仿宋_GB2312"/>
                <w:sz w:val="24"/>
                <w:szCs w:val="24"/>
              </w:rPr>
            </w:pPr>
          </w:p>
        </w:tc>
      </w:tr>
      <w:tr w:rsidR="00CA083C">
        <w:trPr>
          <w:jc w:val="center"/>
        </w:trPr>
        <w:tc>
          <w:tcPr>
            <w:tcW w:w="1116"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proofErr w:type="gramStart"/>
            <w:r>
              <w:rPr>
                <w:rFonts w:ascii="仿宋_GB2312" w:eastAsia="仿宋_GB2312" w:hint="eastAsia"/>
                <w:sz w:val="24"/>
                <w:szCs w:val="24"/>
              </w:rPr>
              <w:t>才国伟</w:t>
            </w:r>
            <w:proofErr w:type="gramEnd"/>
          </w:p>
        </w:tc>
        <w:tc>
          <w:tcPr>
            <w:tcW w:w="1836"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中山大学</w:t>
            </w:r>
          </w:p>
        </w:tc>
        <w:tc>
          <w:tcPr>
            <w:tcW w:w="3124"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岭南学院副院长，教授</w:t>
            </w:r>
          </w:p>
        </w:tc>
        <w:tc>
          <w:tcPr>
            <w:tcW w:w="3119" w:type="dxa"/>
            <w:vAlign w:val="center"/>
          </w:tcPr>
          <w:p w:rsidR="00CA083C" w:rsidRDefault="00CA083C">
            <w:pPr>
              <w:pStyle w:val="3"/>
              <w:spacing w:line="400" w:lineRule="exact"/>
              <w:ind w:firstLineChars="0" w:firstLine="0"/>
              <w:jc w:val="center"/>
              <w:outlineLvl w:val="2"/>
              <w:rPr>
                <w:rFonts w:ascii="仿宋_GB2312" w:eastAsia="仿宋_GB2312"/>
                <w:sz w:val="24"/>
                <w:szCs w:val="24"/>
              </w:rPr>
            </w:pPr>
          </w:p>
        </w:tc>
      </w:tr>
      <w:tr w:rsidR="00CA083C">
        <w:trPr>
          <w:jc w:val="center"/>
        </w:trPr>
        <w:tc>
          <w:tcPr>
            <w:tcW w:w="1116"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董志强</w:t>
            </w:r>
          </w:p>
        </w:tc>
        <w:tc>
          <w:tcPr>
            <w:tcW w:w="1836"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华南师范大学</w:t>
            </w:r>
          </w:p>
        </w:tc>
        <w:tc>
          <w:tcPr>
            <w:tcW w:w="3124" w:type="dxa"/>
            <w:vAlign w:val="center"/>
          </w:tcPr>
          <w:p w:rsidR="00CA083C" w:rsidRDefault="00771C28">
            <w:pPr>
              <w:pStyle w:val="3"/>
              <w:spacing w:line="400" w:lineRule="exact"/>
              <w:ind w:firstLineChars="0" w:firstLine="0"/>
              <w:jc w:val="center"/>
              <w:outlineLvl w:val="2"/>
              <w:rPr>
                <w:rFonts w:ascii="仿宋_GB2312" w:eastAsia="仿宋_GB2312"/>
                <w:sz w:val="24"/>
                <w:szCs w:val="24"/>
              </w:rPr>
            </w:pPr>
            <w:r>
              <w:rPr>
                <w:rFonts w:ascii="仿宋_GB2312" w:eastAsia="仿宋_GB2312" w:hint="eastAsia"/>
                <w:sz w:val="24"/>
                <w:szCs w:val="24"/>
              </w:rPr>
              <w:t>经济与管理学院副院长，教授</w:t>
            </w:r>
          </w:p>
        </w:tc>
        <w:tc>
          <w:tcPr>
            <w:tcW w:w="3119" w:type="dxa"/>
            <w:vAlign w:val="center"/>
          </w:tcPr>
          <w:p w:rsidR="00CA083C" w:rsidRDefault="00CA083C">
            <w:pPr>
              <w:pStyle w:val="3"/>
              <w:spacing w:line="400" w:lineRule="exact"/>
              <w:ind w:firstLineChars="0" w:firstLine="0"/>
              <w:jc w:val="center"/>
              <w:outlineLvl w:val="2"/>
              <w:rPr>
                <w:rFonts w:ascii="仿宋_GB2312" w:eastAsia="仿宋_GB2312"/>
                <w:sz w:val="24"/>
                <w:szCs w:val="24"/>
              </w:rPr>
            </w:pPr>
          </w:p>
        </w:tc>
      </w:tr>
    </w:tbl>
    <w:p w:rsidR="00CA083C" w:rsidRDefault="00771C28">
      <w:pPr>
        <w:spacing w:line="560" w:lineRule="exact"/>
        <w:rPr>
          <w:rFonts w:ascii="黑体" w:eastAsia="黑体" w:hAnsi="黑体"/>
        </w:rPr>
      </w:pPr>
      <w:r>
        <w:rPr>
          <w:rFonts w:ascii="黑体" w:eastAsia="黑体" w:hAnsi="黑体" w:hint="eastAsia"/>
        </w:rPr>
        <w:t>（四）同行专家意见</w:t>
      </w:r>
    </w:p>
    <w:p w:rsidR="00CA083C" w:rsidRDefault="00771C28">
      <w:pPr>
        <w:spacing w:line="560" w:lineRule="exact"/>
        <w:ind w:firstLineChars="200" w:firstLine="480"/>
        <w:rPr>
          <w:rFonts w:ascii="黑体" w:eastAsia="黑体" w:hAnsi="黑体"/>
          <w:sz w:val="24"/>
        </w:rPr>
      </w:pPr>
      <w:r>
        <w:rPr>
          <w:rFonts w:ascii="黑体" w:eastAsia="黑体" w:hAnsi="黑体" w:hint="eastAsia"/>
          <w:sz w:val="24"/>
        </w:rPr>
        <w:t>1.主要特色：</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1）师资队伍方面，通过国内外引进、内部培养、合作研究等方式，围绕应用经济学学位点的专业方向，从年龄结构、学历结构、职称结构等方面进一步对师资队伍进行了优化，打造了一支年轻化、高水平、国际化的教研队伍。</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2）科学研究方面，本着“全球视野、学术为基、服务决策”的原则，从世界角度研究中国经济发展的理论和现实问题；从中国、广东发展和改革的实践出发，升华学术理论，推动应用经济学及相关领域的学术研究，科研水平快速提升，产出了系列高水平研究成果。</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3）国际交流方面，采取走出去、请进来、多形式的交流方针，国际交流频率及国际化水平显著提升。依托国家级平台与芝加哥大学等开展全方位深度合作；成功承办世界计量经济学会中国年会、美国房地产和城市经济协会国际会议等多场大型高水平国际会议，为学位</w:t>
      </w:r>
      <w:proofErr w:type="gramStart"/>
      <w:r>
        <w:rPr>
          <w:rFonts w:ascii="仿宋" w:eastAsia="仿宋" w:hAnsi="仿宋" w:hint="eastAsia"/>
          <w:sz w:val="24"/>
        </w:rPr>
        <w:t>点人才</w:t>
      </w:r>
      <w:proofErr w:type="gramEnd"/>
      <w:r>
        <w:rPr>
          <w:rFonts w:ascii="仿宋" w:eastAsia="仿宋" w:hAnsi="仿宋" w:hint="eastAsia"/>
          <w:sz w:val="24"/>
        </w:rPr>
        <w:t>培养提供优越的学术交流环境。</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4）人才培养方面，实施“立体式”人才培养模式，形成学科发展带动学位点建设和课程建设的良性运作机制，推动教学改革和研究生培养机制优化，抓实研究生培养质量管理监督，实施学位申请学术要求多元化改革，研究生积极参与科学研究，培养质量与就业水平显著提升。相关成果获广东省教育教学成果多个奖项， “千村调查项目”等作为实践育人项目成效明显。</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（5）社会服务方面：学位点紧密围绕 “粤港澳大湾区” “国家金融建设发展” “乡村振兴” 等国家重大战略和发展问题， 取得一系列标志性的重大成果，多个</w:t>
      </w:r>
      <w:proofErr w:type="gramStart"/>
      <w:r>
        <w:rPr>
          <w:rFonts w:ascii="仿宋" w:eastAsia="仿宋" w:hAnsi="仿宋" w:hint="eastAsia"/>
          <w:sz w:val="24"/>
        </w:rPr>
        <w:t>智库机构</w:t>
      </w:r>
      <w:proofErr w:type="gramEnd"/>
      <w:r>
        <w:rPr>
          <w:rFonts w:ascii="仿宋" w:eastAsia="仿宋" w:hAnsi="仿宋" w:hint="eastAsia"/>
          <w:sz w:val="24"/>
        </w:rPr>
        <w:t>先后入选CTTI来源智库。</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专家组经集中讨论认为，本学位点建设成效显著，达到优秀水平。</w:t>
      </w:r>
    </w:p>
    <w:p w:rsidR="00CA083C" w:rsidRDefault="00771C28">
      <w:pPr>
        <w:spacing w:line="560" w:lineRule="exact"/>
        <w:ind w:firstLineChars="200" w:firstLine="480"/>
        <w:rPr>
          <w:rFonts w:ascii="黑体" w:eastAsia="黑体" w:hAnsi="黑体"/>
          <w:sz w:val="24"/>
        </w:rPr>
      </w:pPr>
      <w:r>
        <w:rPr>
          <w:rFonts w:ascii="黑体" w:eastAsia="黑体" w:hAnsi="黑体" w:hint="eastAsia"/>
          <w:sz w:val="24"/>
        </w:rPr>
        <w:t>2.存在的主要问题与不足</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（1）师资队伍质量与国内外一流学科仍有一定差距；</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（2）</w:t>
      </w:r>
      <w:proofErr w:type="gramStart"/>
      <w:r>
        <w:rPr>
          <w:rFonts w:ascii="仿宋" w:eastAsia="仿宋" w:hAnsi="仿宋" w:hint="eastAsia"/>
          <w:sz w:val="24"/>
        </w:rPr>
        <w:t>高显示度教学</w:t>
      </w:r>
      <w:proofErr w:type="gramEnd"/>
      <w:r>
        <w:rPr>
          <w:rFonts w:ascii="仿宋" w:eastAsia="仿宋" w:hAnsi="仿宋" w:hint="eastAsia"/>
          <w:sz w:val="24"/>
        </w:rPr>
        <w:t>成果相对缺乏；</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（3）研究生科研贡献度仍需提高。</w:t>
      </w:r>
    </w:p>
    <w:p w:rsidR="00CA083C" w:rsidRDefault="00771C28">
      <w:pPr>
        <w:spacing w:line="560" w:lineRule="exact"/>
        <w:ind w:firstLineChars="200" w:firstLine="480"/>
        <w:rPr>
          <w:rFonts w:ascii="黑体" w:eastAsia="黑体" w:hAnsi="黑体"/>
          <w:sz w:val="24"/>
        </w:rPr>
      </w:pPr>
      <w:r>
        <w:rPr>
          <w:rFonts w:ascii="黑体" w:eastAsia="黑体" w:hAnsi="黑体" w:hint="eastAsia"/>
          <w:sz w:val="24"/>
        </w:rPr>
        <w:t>3.改进建议</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（1）进一步加强人才队伍建设，继续通过内培外引方式培养集聚一批具有较高学术影响力的领军人才；</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（2）加大国家级教学成果、教学团队、精品课程的培育工作；</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（3）加强研究生培养的过程管理，延长博士生学制至4年。</w:t>
      </w:r>
    </w:p>
    <w:p w:rsidR="00CA083C" w:rsidRDefault="00771C28">
      <w:pPr>
        <w:pStyle w:val="3"/>
        <w:spacing w:line="560" w:lineRule="exact"/>
        <w:ind w:firstLineChars="0" w:firstLine="0"/>
      </w:pPr>
      <w:r>
        <w:rPr>
          <w:rFonts w:hint="eastAsia"/>
        </w:rPr>
        <w:t>三、改进计划</w:t>
      </w:r>
    </w:p>
    <w:p w:rsidR="00CA083C" w:rsidRDefault="00771C28">
      <w:pPr>
        <w:pStyle w:val="3"/>
        <w:spacing w:line="560" w:lineRule="exact"/>
        <w:ind w:firstLineChars="0" w:firstLine="0"/>
        <w:rPr>
          <w:sz w:val="28"/>
          <w:szCs w:val="28"/>
        </w:rPr>
      </w:pPr>
      <w:r>
        <w:rPr>
          <w:rFonts w:hint="eastAsia"/>
          <w:sz w:val="28"/>
          <w:szCs w:val="28"/>
        </w:rPr>
        <w:t>（一）发展目标</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力争把我校应用经济学学科建设成为华南地区领先、国内知名并具有自己特色和广泛影响力的学科；打造出具有自身特色、国内知名的应用经济学研究生教育品牌。</w:t>
      </w:r>
    </w:p>
    <w:p w:rsidR="00CA083C" w:rsidRDefault="00771C28">
      <w:pPr>
        <w:pStyle w:val="3"/>
        <w:spacing w:line="560" w:lineRule="exact"/>
        <w:ind w:firstLineChars="0" w:firstLine="0"/>
        <w:rPr>
          <w:sz w:val="28"/>
          <w:szCs w:val="28"/>
        </w:rPr>
      </w:pPr>
      <w:r>
        <w:rPr>
          <w:rFonts w:hint="eastAsia"/>
          <w:sz w:val="28"/>
          <w:szCs w:val="28"/>
        </w:rPr>
        <w:t>（二）保障措施</w:t>
      </w:r>
    </w:p>
    <w:p w:rsidR="00CA083C" w:rsidRDefault="00771C28">
      <w:pPr>
        <w:spacing w:line="560" w:lineRule="exact"/>
        <w:ind w:firstLineChars="200" w:firstLine="480"/>
        <w:rPr>
          <w:rFonts w:ascii="仿宋" w:eastAsia="仿宋" w:hAnsi="仿宋"/>
          <w:sz w:val="24"/>
        </w:rPr>
      </w:pPr>
      <w:r>
        <w:rPr>
          <w:rFonts w:ascii="仿宋" w:eastAsia="仿宋" w:hAnsi="仿宋" w:hint="eastAsia"/>
          <w:sz w:val="24"/>
        </w:rPr>
        <w:t>未来3-5年，本授权点主要从师资队伍、科学研究、人才培养、条件建设等方面进行建设，保障上述发展目标的实现。具体措施如下：</w:t>
      </w:r>
    </w:p>
    <w:p w:rsidR="00CA083C" w:rsidRDefault="00771C28">
      <w:pPr>
        <w:spacing w:line="560" w:lineRule="exact"/>
        <w:ind w:firstLineChars="200" w:firstLine="480"/>
        <w:rPr>
          <w:rFonts w:ascii="黑体" w:eastAsia="黑体" w:hAnsi="黑体"/>
          <w:sz w:val="24"/>
        </w:rPr>
      </w:pPr>
      <w:r>
        <w:rPr>
          <w:rFonts w:ascii="黑体" w:eastAsia="黑体" w:hAnsi="黑体" w:hint="eastAsia"/>
          <w:sz w:val="24"/>
        </w:rPr>
        <w:t>1.师资队伍</w:t>
      </w:r>
    </w:p>
    <w:p w:rsidR="00CA083C" w:rsidRDefault="00771C28">
      <w:pPr>
        <w:spacing w:line="560" w:lineRule="exact"/>
        <w:ind w:firstLineChars="200" w:firstLine="480"/>
        <w:rPr>
          <w:rFonts w:ascii="黑体" w:eastAsia="黑体" w:hAnsi="黑体"/>
          <w:sz w:val="24"/>
        </w:rPr>
      </w:pPr>
      <w:r>
        <w:rPr>
          <w:rFonts w:ascii="仿宋" w:eastAsia="仿宋" w:hAnsi="仿宋" w:hint="eastAsia"/>
          <w:sz w:val="24"/>
        </w:rPr>
        <w:t>根据学科发展需求和重点发展专业精准引进人才，培养一支规模适度、结构多元、国内一流的师资队伍。严把“入口”关，通过多轮全方位的面试，全面考察引进人才的学术水平、发展潜力、师德师风情况等，对拟引进人才</w:t>
      </w:r>
      <w:proofErr w:type="gramStart"/>
      <w:r>
        <w:rPr>
          <w:rFonts w:ascii="仿宋" w:eastAsia="仿宋" w:hAnsi="仿宋" w:hint="eastAsia"/>
          <w:sz w:val="24"/>
        </w:rPr>
        <w:t>作出</w:t>
      </w:r>
      <w:proofErr w:type="gramEnd"/>
      <w:r>
        <w:rPr>
          <w:rFonts w:ascii="仿宋" w:eastAsia="仿宋" w:hAnsi="仿宋" w:hint="eastAsia"/>
          <w:sz w:val="24"/>
        </w:rPr>
        <w:t>客观评价。按照“破五唯”的基本精神，推进人才管理体制、人才培养支持机制、人才评价机制、人才流动机制和人才激励机制等方面的改革，激发人才队伍活力。整合社会</w:t>
      </w:r>
      <w:proofErr w:type="gramStart"/>
      <w:r>
        <w:rPr>
          <w:rFonts w:ascii="仿宋" w:eastAsia="仿宋" w:hAnsi="仿宋" w:hint="eastAsia"/>
          <w:sz w:val="24"/>
        </w:rPr>
        <w:t>各界优势</w:t>
      </w:r>
      <w:proofErr w:type="gramEnd"/>
      <w:r>
        <w:rPr>
          <w:rFonts w:ascii="仿宋" w:eastAsia="仿宋" w:hAnsi="仿宋" w:hint="eastAsia"/>
          <w:sz w:val="24"/>
        </w:rPr>
        <w:t>资源，设立经济学科腾飞计划人才基金，用于经济学科的人才引进和培养；通过人才的“引进”和“激励”，引导教师从事高水平、引领性的研究。对于引进人才进行教学科研、项目申报、指导学生等多方面培训，做好人才引进服务工作；鼓励并引导骨干教师聚焦具有重大现实和理论意义的研究领域，深耕细作，打造高水平、原创性学术成果；做好博士后管理，挖掘博士后潜力，充分发挥博士后等在科研和教学方面的积极作用。</w:t>
      </w:r>
      <w:r>
        <w:rPr>
          <w:rFonts w:ascii="仿宋" w:eastAsia="仿宋" w:hAnsi="仿宋"/>
          <w:sz w:val="24"/>
        </w:rPr>
        <w:cr/>
      </w:r>
      <w:r>
        <w:rPr>
          <w:rFonts w:ascii="黑体" w:eastAsia="黑体" w:hAnsi="黑体"/>
          <w:sz w:val="24"/>
        </w:rPr>
        <w:t xml:space="preserve">    </w:t>
      </w:r>
      <w:r>
        <w:rPr>
          <w:rFonts w:ascii="黑体" w:eastAsia="黑体" w:hAnsi="黑体" w:hint="eastAsia"/>
          <w:sz w:val="24"/>
        </w:rPr>
        <w:t>2.科学研究</w:t>
      </w:r>
    </w:p>
    <w:p w:rsidR="00CA083C" w:rsidRDefault="00771C28">
      <w:pPr>
        <w:spacing w:line="560" w:lineRule="exact"/>
        <w:ind w:firstLineChars="200" w:firstLine="480"/>
        <w:rPr>
          <w:rFonts w:ascii="黑体" w:eastAsia="黑体" w:hAnsi="黑体"/>
          <w:sz w:val="24"/>
        </w:rPr>
      </w:pPr>
      <w:r>
        <w:rPr>
          <w:rFonts w:ascii="仿宋" w:eastAsia="仿宋" w:hAnsi="仿宋" w:hint="eastAsia"/>
          <w:sz w:val="24"/>
        </w:rPr>
        <w:t>瞄准世界先进水平，把握学科国际发展前沿，借鉴和创新研究方法，进行原创性理论研究，出一流学术成果。探索人口、资源与环境经济学，区域经济学与环境科学、海洋科学；统计学、金融学与大数据、数学等“新金融/新经济”方面的学科交叉融合，打造学科新增长点。围绕国家和广东省重要需求进行选题，凝练研究方向，打造学科新增长点，力争产出更多的国家重大重点项目、取得一批具有重大应用价值的成果，为国家和广东省提供决策依据。开展大型社会调查项目，包括：广东千村调查、绵竹儿童认知与非认知能力发展追踪项目等，为政策制定及学术研究提供高质量的微观数据。充分利用港澳特区经济研究所、广东产业发展与粤港澳台区域合作研究中心等研究机构，做好服务地方经济工作，确立在粤港澳大湾区经济研究</w:t>
      </w:r>
      <w:proofErr w:type="gramStart"/>
      <w:r>
        <w:rPr>
          <w:rFonts w:ascii="仿宋" w:eastAsia="仿宋" w:hAnsi="仿宋" w:hint="eastAsia"/>
          <w:sz w:val="24"/>
        </w:rPr>
        <w:t>智库研究</w:t>
      </w:r>
      <w:proofErr w:type="gramEnd"/>
      <w:r>
        <w:rPr>
          <w:rFonts w:ascii="仿宋" w:eastAsia="仿宋" w:hAnsi="仿宋" w:hint="eastAsia"/>
          <w:sz w:val="24"/>
        </w:rPr>
        <w:t>的主体地位。</w:t>
      </w:r>
      <w:r>
        <w:rPr>
          <w:rFonts w:ascii="仿宋" w:eastAsia="仿宋" w:hAnsi="仿宋"/>
          <w:sz w:val="24"/>
        </w:rPr>
        <w:cr/>
      </w:r>
      <w:r>
        <w:rPr>
          <w:rFonts w:ascii="黑体" w:eastAsia="黑体" w:hAnsi="黑体"/>
          <w:sz w:val="24"/>
        </w:rPr>
        <w:t xml:space="preserve">    </w:t>
      </w:r>
      <w:r>
        <w:rPr>
          <w:rFonts w:ascii="黑体" w:eastAsia="黑体" w:hAnsi="黑体" w:hint="eastAsia"/>
          <w:sz w:val="24"/>
        </w:rPr>
        <w:t>3.人才培养</w:t>
      </w:r>
    </w:p>
    <w:p w:rsidR="00CA083C" w:rsidRDefault="00771C28">
      <w:pPr>
        <w:spacing w:line="560" w:lineRule="exact"/>
        <w:ind w:firstLineChars="200" w:firstLine="480"/>
        <w:rPr>
          <w:rFonts w:ascii="黑体" w:eastAsia="黑体" w:hAnsi="黑体"/>
          <w:sz w:val="24"/>
        </w:rPr>
      </w:pPr>
      <w:r>
        <w:rPr>
          <w:rFonts w:ascii="仿宋" w:eastAsia="仿宋" w:hAnsi="仿宋" w:hint="eastAsia"/>
          <w:sz w:val="24"/>
        </w:rPr>
        <w:t>将思想政治教育贯穿学生培养全过程，搭建服务学生成长成才的平台，强化学术科技、创新创业、社会实践、校园文化的育人实效。实施学术型研究生导师招生资格周期性考核，推行主导师与副导师制相结合的研究生指导制度。根据一流学术科研能力培养的要求，对学术型学位研究生课程进行建设：优化学术学位研究生课程体系；加快推进硕博课程体系的一体化建设。继续强化资格考试、论文开题、中期考核、论文进展、预答辩、正式答辩各个环节的质量控制，加强对研究生参与学术交流的支持。重点针对学术型研究生，细化申请学位多元化学术要求，引导研究生致力于高水平创新研究探索。</w:t>
      </w:r>
      <w:r>
        <w:rPr>
          <w:rFonts w:ascii="仿宋" w:eastAsia="仿宋" w:hAnsi="仿宋"/>
          <w:sz w:val="24"/>
        </w:rPr>
        <w:cr/>
      </w:r>
      <w:r>
        <w:rPr>
          <w:rFonts w:ascii="黑体" w:eastAsia="黑体" w:hAnsi="黑体"/>
          <w:sz w:val="24"/>
        </w:rPr>
        <w:t xml:space="preserve">    </w:t>
      </w:r>
      <w:r>
        <w:rPr>
          <w:rFonts w:ascii="黑体" w:eastAsia="黑体" w:hAnsi="黑体" w:hint="eastAsia"/>
          <w:sz w:val="24"/>
        </w:rPr>
        <w:t>4.条件建设</w:t>
      </w:r>
    </w:p>
    <w:p w:rsidR="00CA083C" w:rsidRDefault="00771C28">
      <w:pPr>
        <w:spacing w:line="560" w:lineRule="exact"/>
        <w:ind w:firstLineChars="200" w:firstLine="480"/>
      </w:pPr>
      <w:r>
        <w:rPr>
          <w:rFonts w:ascii="仿宋" w:eastAsia="仿宋" w:hAnsi="仿宋" w:hint="eastAsia"/>
          <w:sz w:val="24"/>
        </w:rPr>
        <w:t>着力建设好“广东产业转型升级协同创新中心”“暨南大学南方高等金融研究院”“暨南大学乡村振兴研究院”“广东产业发展与粤港澳台区域合作研究中心"等科研平台，使之成为知识文化交流与传承的平台。全面服务</w:t>
      </w:r>
      <w:proofErr w:type="gramStart"/>
      <w:r>
        <w:rPr>
          <w:rFonts w:ascii="仿宋" w:eastAsia="仿宋" w:hAnsi="仿宋" w:hint="eastAsia"/>
          <w:sz w:val="24"/>
        </w:rPr>
        <w:t>国家涉湾区</w:t>
      </w:r>
      <w:proofErr w:type="gramEnd"/>
      <w:r>
        <w:rPr>
          <w:rFonts w:ascii="仿宋" w:eastAsia="仿宋" w:hAnsi="仿宋" w:hint="eastAsia"/>
          <w:sz w:val="24"/>
        </w:rPr>
        <w:t>各项急、重、新任务。以政策参与为导向，服务粤港澳大湾区各重点领域政策制定。以政策宣讲为媒介，为推进大湾区建设营造良好社会舆论氛围。建立“研究中心、横向课题、要报批示、干部培训”四位一体决策咨询服务体系，服务广东现代化产业体系，为广东省经济高质量发展提供了重要支持。以暨南大学乡村振兴研究院为依托，组建高水平专职研究与调查队伍，建设高质量的乡村振兴调查数据库，系统总结提炼广东乡村振兴宝贵经验，打造高水平的乡村振兴学术交流平台，努力将研究院建成有国际影响、全国领先、广东一流的乡村振兴智库。</w:t>
      </w:r>
    </w:p>
    <w:p w:rsidR="00CA083C" w:rsidRDefault="00CA083C">
      <w:pPr>
        <w:spacing w:line="600" w:lineRule="exact"/>
        <w:ind w:firstLineChars="200" w:firstLine="480"/>
        <w:rPr>
          <w:rFonts w:ascii="仿宋" w:eastAsia="仿宋" w:hAnsi="仿宋"/>
          <w:sz w:val="24"/>
        </w:rPr>
      </w:pPr>
    </w:p>
    <w:sectPr w:rsidR="00CA083C">
      <w:footerReference w:type="default" r:id="rId9"/>
      <w:pgSz w:w="11906" w:h="16838"/>
      <w:pgMar w:top="1440" w:right="1800" w:bottom="1440" w:left="1800" w:header="851" w:footer="992" w:gutter="0"/>
      <w:pgNumType w:start="1"/>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71295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751" w:rsidRDefault="00E20751">
      <w:r>
        <w:separator/>
      </w:r>
    </w:p>
  </w:endnote>
  <w:endnote w:type="continuationSeparator" w:id="0">
    <w:p w:rsidR="00E20751" w:rsidRDefault="00E20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等线">
    <w:altName w:val="Arial Unicode MS"/>
    <w:charset w:val="86"/>
    <w:family w:val="auto"/>
    <w:pitch w:val="default"/>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83C" w:rsidRDefault="00771C28">
    <w:pPr>
      <w:pStyle w:val="a7"/>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CA083C" w:rsidRDefault="00CA083C">
                          <w:pPr>
                            <w:pStyle w:val="a7"/>
                            <w:widowControl/>
                            <w:jc w:val="center"/>
                            <w:textAlignment w:val="baseline"/>
                            <w:rPr>
                              <w:rStyle w:val="NormalCharacter"/>
                              <w:rFonts w:ascii="仿宋_GB2312" w:eastAsia="仿宋_GB2312" w:hAnsi="仿宋_GB2312"/>
                              <w:sz w:val="28"/>
                              <w:szCs w:val="28"/>
                            </w:rPr>
                          </w:pPr>
                        </w:p>
                      </w:txbxContent>
                    </wps:txbx>
                    <wps:bodyPr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文本框 44" o:spid="_x0000_s1026" type="#_x0000_t202" style="position:absolute;left:0;text-align:left;margin-left:0;margin-top:0;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" filled="f" stroked="f" strokeweight="1.25pt">
              <v:textbox inset="0,0,0,0">
                <w:txbxContent>
                  <w:p w:rsidR="00CA083C" w:rsidRDefault="00CA083C">
                    <w:pPr>
                      <w:pStyle w:val="a7"/>
                      <w:widowControl/>
                      <w:jc w:val="center"/>
                      <w:textAlignment w:val="baseline"/>
                      <w:rPr>
                        <w:rStyle w:val="NormalCharacter"/>
                        <w:rFonts w:ascii="仿宋_GB2312" w:eastAsia="仿宋_GB2312" w:hAnsi="仿宋_GB2312"/>
                        <w:sz w:val="28"/>
                        <w:szCs w:val="2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751" w:rsidRDefault="00E20751">
      <w:r>
        <w:separator/>
      </w:r>
    </w:p>
  </w:footnote>
  <w:footnote w:type="continuationSeparator" w:id="0">
    <w:p w:rsidR="00E20751" w:rsidRDefault="00E2075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蒋石">
    <w15:presenceInfo w15:providerId="None" w15:userId="蒋石"/>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EB"/>
    <w:rsid w:val="00001FAA"/>
    <w:rsid w:val="000036A3"/>
    <w:rsid w:val="0000504C"/>
    <w:rsid w:val="00022694"/>
    <w:rsid w:val="00024598"/>
    <w:rsid w:val="00033EA8"/>
    <w:rsid w:val="000341A4"/>
    <w:rsid w:val="00062279"/>
    <w:rsid w:val="000625B1"/>
    <w:rsid w:val="00067EC4"/>
    <w:rsid w:val="00072396"/>
    <w:rsid w:val="00073C9B"/>
    <w:rsid w:val="00075410"/>
    <w:rsid w:val="00082791"/>
    <w:rsid w:val="000A1D41"/>
    <w:rsid w:val="000A6960"/>
    <w:rsid w:val="000B40A6"/>
    <w:rsid w:val="000D58F0"/>
    <w:rsid w:val="000D755F"/>
    <w:rsid w:val="000E7E8B"/>
    <w:rsid w:val="000F1642"/>
    <w:rsid w:val="000F3602"/>
    <w:rsid w:val="000F5381"/>
    <w:rsid w:val="001157C5"/>
    <w:rsid w:val="001254FF"/>
    <w:rsid w:val="00155066"/>
    <w:rsid w:val="00157B6D"/>
    <w:rsid w:val="00160B8E"/>
    <w:rsid w:val="00172EE2"/>
    <w:rsid w:val="001752D5"/>
    <w:rsid w:val="00177A2A"/>
    <w:rsid w:val="001829C8"/>
    <w:rsid w:val="001A0413"/>
    <w:rsid w:val="001A0D11"/>
    <w:rsid w:val="001A5654"/>
    <w:rsid w:val="001B548C"/>
    <w:rsid w:val="001E700B"/>
    <w:rsid w:val="001F6CE6"/>
    <w:rsid w:val="00225226"/>
    <w:rsid w:val="002330D8"/>
    <w:rsid w:val="00233625"/>
    <w:rsid w:val="00256CF8"/>
    <w:rsid w:val="00266F6D"/>
    <w:rsid w:val="002713C3"/>
    <w:rsid w:val="00275560"/>
    <w:rsid w:val="00281524"/>
    <w:rsid w:val="00287DEA"/>
    <w:rsid w:val="00291F7E"/>
    <w:rsid w:val="002A2A8F"/>
    <w:rsid w:val="002B7FCE"/>
    <w:rsid w:val="002C6B86"/>
    <w:rsid w:val="002F043A"/>
    <w:rsid w:val="003062E8"/>
    <w:rsid w:val="00326C4A"/>
    <w:rsid w:val="003434E6"/>
    <w:rsid w:val="00351C9E"/>
    <w:rsid w:val="00362ADE"/>
    <w:rsid w:val="00367070"/>
    <w:rsid w:val="003732E3"/>
    <w:rsid w:val="003A08C1"/>
    <w:rsid w:val="003A4AFF"/>
    <w:rsid w:val="003B62A7"/>
    <w:rsid w:val="003C69EE"/>
    <w:rsid w:val="003E07CA"/>
    <w:rsid w:val="003E5279"/>
    <w:rsid w:val="00451F04"/>
    <w:rsid w:val="00460DC7"/>
    <w:rsid w:val="00483FA8"/>
    <w:rsid w:val="00495934"/>
    <w:rsid w:val="004C2337"/>
    <w:rsid w:val="004C5071"/>
    <w:rsid w:val="004D48E3"/>
    <w:rsid w:val="004D5E4D"/>
    <w:rsid w:val="004E2FEA"/>
    <w:rsid w:val="004E58BF"/>
    <w:rsid w:val="004E58FA"/>
    <w:rsid w:val="004F0D0C"/>
    <w:rsid w:val="004F63D7"/>
    <w:rsid w:val="00514E11"/>
    <w:rsid w:val="00525FBC"/>
    <w:rsid w:val="005301C5"/>
    <w:rsid w:val="00534D3D"/>
    <w:rsid w:val="00536A93"/>
    <w:rsid w:val="00552A8B"/>
    <w:rsid w:val="00565221"/>
    <w:rsid w:val="0057409F"/>
    <w:rsid w:val="00581E8A"/>
    <w:rsid w:val="005A400C"/>
    <w:rsid w:val="005C3EA9"/>
    <w:rsid w:val="005C6089"/>
    <w:rsid w:val="005D6634"/>
    <w:rsid w:val="005E1E9F"/>
    <w:rsid w:val="005E6012"/>
    <w:rsid w:val="0060103B"/>
    <w:rsid w:val="00627920"/>
    <w:rsid w:val="00632B90"/>
    <w:rsid w:val="00657FE7"/>
    <w:rsid w:val="00670294"/>
    <w:rsid w:val="006755B4"/>
    <w:rsid w:val="00687997"/>
    <w:rsid w:val="006B137F"/>
    <w:rsid w:val="006B3895"/>
    <w:rsid w:val="006B7C5B"/>
    <w:rsid w:val="006C0E66"/>
    <w:rsid w:val="006C221C"/>
    <w:rsid w:val="006C2C39"/>
    <w:rsid w:val="006D098B"/>
    <w:rsid w:val="006F25CF"/>
    <w:rsid w:val="006F67CB"/>
    <w:rsid w:val="006F6D37"/>
    <w:rsid w:val="00702CF9"/>
    <w:rsid w:val="00745F8D"/>
    <w:rsid w:val="007570E5"/>
    <w:rsid w:val="007612FF"/>
    <w:rsid w:val="00771C28"/>
    <w:rsid w:val="00780E2D"/>
    <w:rsid w:val="007852C0"/>
    <w:rsid w:val="007B0187"/>
    <w:rsid w:val="007C1DB1"/>
    <w:rsid w:val="007D348E"/>
    <w:rsid w:val="007D7B19"/>
    <w:rsid w:val="007F58E3"/>
    <w:rsid w:val="00806E98"/>
    <w:rsid w:val="00845AEC"/>
    <w:rsid w:val="00861E13"/>
    <w:rsid w:val="00862355"/>
    <w:rsid w:val="00862A4C"/>
    <w:rsid w:val="008747B7"/>
    <w:rsid w:val="0089560A"/>
    <w:rsid w:val="008C7921"/>
    <w:rsid w:val="008D5C77"/>
    <w:rsid w:val="008E0DD5"/>
    <w:rsid w:val="008E415F"/>
    <w:rsid w:val="008F1EC0"/>
    <w:rsid w:val="008F3D46"/>
    <w:rsid w:val="0090246E"/>
    <w:rsid w:val="00923924"/>
    <w:rsid w:val="00925812"/>
    <w:rsid w:val="00937328"/>
    <w:rsid w:val="0095238C"/>
    <w:rsid w:val="00953FCC"/>
    <w:rsid w:val="009602E3"/>
    <w:rsid w:val="009844C4"/>
    <w:rsid w:val="009952E7"/>
    <w:rsid w:val="009A0031"/>
    <w:rsid w:val="009C3F54"/>
    <w:rsid w:val="009D77A8"/>
    <w:rsid w:val="009E7F3F"/>
    <w:rsid w:val="009F2D3C"/>
    <w:rsid w:val="00A0399C"/>
    <w:rsid w:val="00A07873"/>
    <w:rsid w:val="00A2205E"/>
    <w:rsid w:val="00A349CF"/>
    <w:rsid w:val="00A43327"/>
    <w:rsid w:val="00A54693"/>
    <w:rsid w:val="00A56C20"/>
    <w:rsid w:val="00A63234"/>
    <w:rsid w:val="00A74BE3"/>
    <w:rsid w:val="00A96B8B"/>
    <w:rsid w:val="00AA5D2E"/>
    <w:rsid w:val="00AC4B1D"/>
    <w:rsid w:val="00B045D5"/>
    <w:rsid w:val="00B06ECC"/>
    <w:rsid w:val="00B22F27"/>
    <w:rsid w:val="00B519F1"/>
    <w:rsid w:val="00B63951"/>
    <w:rsid w:val="00B9702E"/>
    <w:rsid w:val="00BA5ECD"/>
    <w:rsid w:val="00BA759F"/>
    <w:rsid w:val="00BD6136"/>
    <w:rsid w:val="00C20229"/>
    <w:rsid w:val="00C41226"/>
    <w:rsid w:val="00C50F1A"/>
    <w:rsid w:val="00C7271E"/>
    <w:rsid w:val="00C75DA5"/>
    <w:rsid w:val="00CA083C"/>
    <w:rsid w:val="00CC4B24"/>
    <w:rsid w:val="00CF11C5"/>
    <w:rsid w:val="00D0307C"/>
    <w:rsid w:val="00D07049"/>
    <w:rsid w:val="00D264CE"/>
    <w:rsid w:val="00D31833"/>
    <w:rsid w:val="00D52E6C"/>
    <w:rsid w:val="00D67194"/>
    <w:rsid w:val="00D81503"/>
    <w:rsid w:val="00D92C59"/>
    <w:rsid w:val="00D94DEB"/>
    <w:rsid w:val="00DA77BC"/>
    <w:rsid w:val="00DB2F94"/>
    <w:rsid w:val="00DD4AD3"/>
    <w:rsid w:val="00DD54CC"/>
    <w:rsid w:val="00E02064"/>
    <w:rsid w:val="00E04200"/>
    <w:rsid w:val="00E0734F"/>
    <w:rsid w:val="00E11A3D"/>
    <w:rsid w:val="00E146D6"/>
    <w:rsid w:val="00E20751"/>
    <w:rsid w:val="00E53314"/>
    <w:rsid w:val="00E53D40"/>
    <w:rsid w:val="00E56687"/>
    <w:rsid w:val="00E56CA0"/>
    <w:rsid w:val="00E56F53"/>
    <w:rsid w:val="00E705C1"/>
    <w:rsid w:val="00E761E3"/>
    <w:rsid w:val="00E86A8E"/>
    <w:rsid w:val="00E90707"/>
    <w:rsid w:val="00EA5D94"/>
    <w:rsid w:val="00EB331F"/>
    <w:rsid w:val="00EF1E62"/>
    <w:rsid w:val="00F03C22"/>
    <w:rsid w:val="00F40598"/>
    <w:rsid w:val="00F511FD"/>
    <w:rsid w:val="00F5170E"/>
    <w:rsid w:val="00F534E5"/>
    <w:rsid w:val="00F5530C"/>
    <w:rsid w:val="00F66AEF"/>
    <w:rsid w:val="00F77254"/>
    <w:rsid w:val="00FA5E6A"/>
    <w:rsid w:val="00FB3324"/>
    <w:rsid w:val="00FB3B80"/>
    <w:rsid w:val="00FB4027"/>
    <w:rsid w:val="00FB6887"/>
    <w:rsid w:val="00FC2A90"/>
    <w:rsid w:val="00FE38D7"/>
    <w:rsid w:val="00FE7CC8"/>
    <w:rsid w:val="04D2286F"/>
    <w:rsid w:val="05235D34"/>
    <w:rsid w:val="06A20A39"/>
    <w:rsid w:val="0718544D"/>
    <w:rsid w:val="08D12F00"/>
    <w:rsid w:val="0B3049D6"/>
    <w:rsid w:val="0B692FE1"/>
    <w:rsid w:val="0C480258"/>
    <w:rsid w:val="0CD00F0A"/>
    <w:rsid w:val="0EBD0E70"/>
    <w:rsid w:val="0F582491"/>
    <w:rsid w:val="0F712BB6"/>
    <w:rsid w:val="102354BF"/>
    <w:rsid w:val="11DD16E4"/>
    <w:rsid w:val="121A010C"/>
    <w:rsid w:val="16F83C72"/>
    <w:rsid w:val="1CC25C22"/>
    <w:rsid w:val="1E501745"/>
    <w:rsid w:val="27A929FE"/>
    <w:rsid w:val="2C21126A"/>
    <w:rsid w:val="2C752F1C"/>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141262"/>
    <w:rsid w:val="562166FF"/>
    <w:rsid w:val="56E90240"/>
    <w:rsid w:val="57A23368"/>
    <w:rsid w:val="57EF7F46"/>
    <w:rsid w:val="58815E06"/>
    <w:rsid w:val="5EC47139"/>
    <w:rsid w:val="659F2553"/>
    <w:rsid w:val="66EF4E57"/>
    <w:rsid w:val="67A4342A"/>
    <w:rsid w:val="6A215794"/>
    <w:rsid w:val="6AAB5A90"/>
    <w:rsid w:val="6BD734C7"/>
    <w:rsid w:val="6C160F2C"/>
    <w:rsid w:val="6E28464A"/>
    <w:rsid w:val="6E995A95"/>
    <w:rsid w:val="7229607F"/>
    <w:rsid w:val="73D25D6E"/>
    <w:rsid w:val="740B40E6"/>
    <w:rsid w:val="74207661"/>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unhideWhenUsed="0" w:qFormat="1"/>
    <w:lsdException w:name="footer" w:semiHidden="0" w:unhideWhenUsed="0" w:qFormat="1"/>
    <w:lsdException w:name="caption" w:semiHidden="0" w:qFormat="1"/>
    <w:lsdException w:name="annotation reference"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1"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semiHidden="0" w:unhideWhenUsed="0"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annotation text"/>
    <w:basedOn w:val="a"/>
    <w:link w:val="Char"/>
    <w:semiHidden/>
    <w:unhideWhenUsed/>
    <w:qFormat/>
    <w:pPr>
      <w:jc w:val="left"/>
    </w:pPr>
  </w:style>
  <w:style w:type="paragraph" w:styleId="a5">
    <w:name w:val="Body Text"/>
    <w:basedOn w:val="a"/>
    <w:link w:val="Char0"/>
    <w:uiPriority w:val="1"/>
    <w:qFormat/>
    <w:pPr>
      <w:ind w:left="118"/>
      <w:jc w:val="left"/>
    </w:pPr>
    <w:rPr>
      <w:rFonts w:ascii="楷体" w:eastAsia="楷体" w:hAnsi="楷体"/>
      <w:kern w:val="0"/>
      <w:sz w:val="21"/>
      <w:szCs w:val="21"/>
      <w:lang w:eastAsia="en-US"/>
    </w:rPr>
  </w:style>
  <w:style w:type="paragraph" w:styleId="a6">
    <w:name w:val="Balloon Text"/>
    <w:basedOn w:val="a"/>
    <w:link w:val="Char1"/>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rFonts w:cs="Times New Roman"/>
      <w:kern w:val="0"/>
      <w:sz w:val="24"/>
    </w:rPr>
  </w:style>
  <w:style w:type="paragraph" w:styleId="aa">
    <w:name w:val="annotation subject"/>
    <w:basedOn w:val="a4"/>
    <w:next w:val="a4"/>
    <w:link w:val="Char2"/>
    <w:semiHidden/>
    <w:unhideWhenUsed/>
    <w:qFormat/>
    <w:rPr>
      <w:b/>
      <w:bCs/>
    </w:rPr>
  </w:style>
  <w:style w:type="table" w:styleId="ab">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Pr>
      <w:b/>
    </w:rPr>
  </w:style>
  <w:style w:type="character" w:styleId="ad">
    <w:name w:val="page number"/>
    <w:basedOn w:val="a0"/>
    <w:qFormat/>
  </w:style>
  <w:style w:type="character" w:styleId="ae">
    <w:name w:val="FollowedHyperlink"/>
    <w:basedOn w:val="a0"/>
    <w:qFormat/>
    <w:rPr>
      <w:color w:val="800080"/>
      <w:u w:val="none"/>
    </w:rPr>
  </w:style>
  <w:style w:type="character" w:styleId="af">
    <w:name w:val="Emphasis"/>
    <w:basedOn w:val="a0"/>
    <w:uiPriority w:val="20"/>
    <w:qFormat/>
    <w:rPr>
      <w:i/>
      <w:iCs/>
    </w:rPr>
  </w:style>
  <w:style w:type="character" w:styleId="af0">
    <w:name w:val="Hyperlink"/>
    <w:basedOn w:val="a0"/>
    <w:qFormat/>
    <w:rPr>
      <w:color w:val="0000FF"/>
      <w:u w:val="none"/>
    </w:rPr>
  </w:style>
  <w:style w:type="character" w:styleId="af1">
    <w:name w:val="annotation reference"/>
    <w:basedOn w:val="a0"/>
    <w:semiHidden/>
    <w:unhideWhenUsed/>
    <w:qFormat/>
    <w:rPr>
      <w:sz w:val="21"/>
      <w:szCs w:val="21"/>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paragraph" w:styleId="af2">
    <w:name w:val="List Paragraph"/>
    <w:basedOn w:val="a"/>
    <w:uiPriority w:val="99"/>
    <w:unhideWhenUsed/>
    <w:qFormat/>
    <w:pPr>
      <w:ind w:firstLineChars="200" w:firstLine="420"/>
    </w:p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1">
    <w:name w:val="批注框文本 Char"/>
    <w:basedOn w:val="a0"/>
    <w:link w:val="a6"/>
    <w:qFormat/>
    <w:rPr>
      <w:rFonts w:asciiTheme="minorHAnsi" w:eastAsia="方正仿宋简体" w:hAnsiTheme="minorHAnsi" w:cstheme="minorBidi"/>
      <w:kern w:val="2"/>
      <w:sz w:val="18"/>
      <w:szCs w:val="18"/>
    </w:rPr>
  </w:style>
  <w:style w:type="character" w:customStyle="1" w:styleId="Char">
    <w:name w:val="批注文字 Char"/>
    <w:basedOn w:val="a0"/>
    <w:link w:val="a4"/>
    <w:semiHidden/>
    <w:qFormat/>
    <w:rPr>
      <w:rFonts w:asciiTheme="minorHAnsi" w:eastAsia="方正仿宋简体" w:hAnsiTheme="minorHAnsi" w:cstheme="minorBidi"/>
      <w:kern w:val="2"/>
      <w:sz w:val="32"/>
      <w:szCs w:val="24"/>
    </w:rPr>
  </w:style>
  <w:style w:type="character" w:customStyle="1" w:styleId="Char2">
    <w:name w:val="批注主题 Char"/>
    <w:basedOn w:val="Char"/>
    <w:link w:val="aa"/>
    <w:semiHidden/>
    <w:qFormat/>
    <w:rPr>
      <w:rFonts w:asciiTheme="minorHAnsi" w:eastAsia="方正仿宋简体" w:hAnsiTheme="minorHAnsi" w:cstheme="minorBidi"/>
      <w:b/>
      <w:bCs/>
      <w:kern w:val="2"/>
      <w:sz w:val="32"/>
      <w:szCs w:val="24"/>
    </w:rPr>
  </w:style>
  <w:style w:type="character" w:customStyle="1" w:styleId="Char0">
    <w:name w:val="正文文本 Char"/>
    <w:basedOn w:val="a0"/>
    <w:link w:val="a5"/>
    <w:uiPriority w:val="1"/>
    <w:qFormat/>
    <w:rPr>
      <w:rFonts w:ascii="楷体" w:eastAsia="楷体" w:hAnsi="楷体" w:cstheme="minorBidi"/>
      <w:sz w:val="21"/>
      <w:szCs w:val="21"/>
      <w:lang w:eastAsia="en-US"/>
    </w:rPr>
  </w:style>
  <w:style w:type="paragraph" w:customStyle="1" w:styleId="TableParagraph">
    <w:name w:val="Table Paragraph"/>
    <w:basedOn w:val="a"/>
    <w:uiPriority w:val="1"/>
    <w:qFormat/>
    <w:pPr>
      <w:jc w:val="left"/>
    </w:pPr>
    <w:rPr>
      <w:rFonts w:eastAsiaTheme="minorEastAsia"/>
      <w:kern w:val="0"/>
      <w:sz w:val="22"/>
      <w:szCs w:val="22"/>
      <w:lang w:eastAsia="en-US"/>
    </w:rPr>
  </w:style>
  <w:style w:type="paragraph" w:customStyle="1" w:styleId="10">
    <w:name w:val="修订1"/>
    <w:hidden/>
    <w:uiPriority w:val="99"/>
    <w:semiHidden/>
    <w:qFormat/>
    <w:rPr>
      <w:rFonts w:asciiTheme="minorHAnsi" w:eastAsia="方正仿宋简体" w:hAnsiTheme="minorHAnsi" w:cstheme="minorBidi"/>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unhideWhenUsed="0" w:qFormat="1"/>
    <w:lsdException w:name="footer" w:semiHidden="0" w:unhideWhenUsed="0" w:qFormat="1"/>
    <w:lsdException w:name="caption" w:semiHidden="0" w:qFormat="1"/>
    <w:lsdException w:name="annotation reference"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1"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semiHidden="0" w:unhideWhenUsed="0"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annotation text"/>
    <w:basedOn w:val="a"/>
    <w:link w:val="Char"/>
    <w:semiHidden/>
    <w:unhideWhenUsed/>
    <w:qFormat/>
    <w:pPr>
      <w:jc w:val="left"/>
    </w:pPr>
  </w:style>
  <w:style w:type="paragraph" w:styleId="a5">
    <w:name w:val="Body Text"/>
    <w:basedOn w:val="a"/>
    <w:link w:val="Char0"/>
    <w:uiPriority w:val="1"/>
    <w:qFormat/>
    <w:pPr>
      <w:ind w:left="118"/>
      <w:jc w:val="left"/>
    </w:pPr>
    <w:rPr>
      <w:rFonts w:ascii="楷体" w:eastAsia="楷体" w:hAnsi="楷体"/>
      <w:kern w:val="0"/>
      <w:sz w:val="21"/>
      <w:szCs w:val="21"/>
      <w:lang w:eastAsia="en-US"/>
    </w:rPr>
  </w:style>
  <w:style w:type="paragraph" w:styleId="a6">
    <w:name w:val="Balloon Text"/>
    <w:basedOn w:val="a"/>
    <w:link w:val="Char1"/>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rFonts w:cs="Times New Roman"/>
      <w:kern w:val="0"/>
      <w:sz w:val="24"/>
    </w:rPr>
  </w:style>
  <w:style w:type="paragraph" w:styleId="aa">
    <w:name w:val="annotation subject"/>
    <w:basedOn w:val="a4"/>
    <w:next w:val="a4"/>
    <w:link w:val="Char2"/>
    <w:semiHidden/>
    <w:unhideWhenUsed/>
    <w:qFormat/>
    <w:rPr>
      <w:b/>
      <w:bCs/>
    </w:rPr>
  </w:style>
  <w:style w:type="table" w:styleId="ab">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Pr>
      <w:b/>
    </w:rPr>
  </w:style>
  <w:style w:type="character" w:styleId="ad">
    <w:name w:val="page number"/>
    <w:basedOn w:val="a0"/>
    <w:qFormat/>
  </w:style>
  <w:style w:type="character" w:styleId="ae">
    <w:name w:val="FollowedHyperlink"/>
    <w:basedOn w:val="a0"/>
    <w:qFormat/>
    <w:rPr>
      <w:color w:val="800080"/>
      <w:u w:val="none"/>
    </w:rPr>
  </w:style>
  <w:style w:type="character" w:styleId="af">
    <w:name w:val="Emphasis"/>
    <w:basedOn w:val="a0"/>
    <w:uiPriority w:val="20"/>
    <w:qFormat/>
    <w:rPr>
      <w:i/>
      <w:iCs/>
    </w:rPr>
  </w:style>
  <w:style w:type="character" w:styleId="af0">
    <w:name w:val="Hyperlink"/>
    <w:basedOn w:val="a0"/>
    <w:qFormat/>
    <w:rPr>
      <w:color w:val="0000FF"/>
      <w:u w:val="none"/>
    </w:rPr>
  </w:style>
  <w:style w:type="character" w:styleId="af1">
    <w:name w:val="annotation reference"/>
    <w:basedOn w:val="a0"/>
    <w:semiHidden/>
    <w:unhideWhenUsed/>
    <w:qFormat/>
    <w:rPr>
      <w:sz w:val="21"/>
      <w:szCs w:val="21"/>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paragraph" w:styleId="af2">
    <w:name w:val="List Paragraph"/>
    <w:basedOn w:val="a"/>
    <w:uiPriority w:val="99"/>
    <w:unhideWhenUsed/>
    <w:qFormat/>
    <w:pPr>
      <w:ind w:firstLineChars="200" w:firstLine="420"/>
    </w:p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1">
    <w:name w:val="批注框文本 Char"/>
    <w:basedOn w:val="a0"/>
    <w:link w:val="a6"/>
    <w:qFormat/>
    <w:rPr>
      <w:rFonts w:asciiTheme="minorHAnsi" w:eastAsia="方正仿宋简体" w:hAnsiTheme="minorHAnsi" w:cstheme="minorBidi"/>
      <w:kern w:val="2"/>
      <w:sz w:val="18"/>
      <w:szCs w:val="18"/>
    </w:rPr>
  </w:style>
  <w:style w:type="character" w:customStyle="1" w:styleId="Char">
    <w:name w:val="批注文字 Char"/>
    <w:basedOn w:val="a0"/>
    <w:link w:val="a4"/>
    <w:semiHidden/>
    <w:qFormat/>
    <w:rPr>
      <w:rFonts w:asciiTheme="minorHAnsi" w:eastAsia="方正仿宋简体" w:hAnsiTheme="minorHAnsi" w:cstheme="minorBidi"/>
      <w:kern w:val="2"/>
      <w:sz w:val="32"/>
      <w:szCs w:val="24"/>
    </w:rPr>
  </w:style>
  <w:style w:type="character" w:customStyle="1" w:styleId="Char2">
    <w:name w:val="批注主题 Char"/>
    <w:basedOn w:val="Char"/>
    <w:link w:val="aa"/>
    <w:semiHidden/>
    <w:qFormat/>
    <w:rPr>
      <w:rFonts w:asciiTheme="minorHAnsi" w:eastAsia="方正仿宋简体" w:hAnsiTheme="minorHAnsi" w:cstheme="minorBidi"/>
      <w:b/>
      <w:bCs/>
      <w:kern w:val="2"/>
      <w:sz w:val="32"/>
      <w:szCs w:val="24"/>
    </w:rPr>
  </w:style>
  <w:style w:type="character" w:customStyle="1" w:styleId="Char0">
    <w:name w:val="正文文本 Char"/>
    <w:basedOn w:val="a0"/>
    <w:link w:val="a5"/>
    <w:uiPriority w:val="1"/>
    <w:qFormat/>
    <w:rPr>
      <w:rFonts w:ascii="楷体" w:eastAsia="楷体" w:hAnsi="楷体" w:cstheme="minorBidi"/>
      <w:sz w:val="21"/>
      <w:szCs w:val="21"/>
      <w:lang w:eastAsia="en-US"/>
    </w:rPr>
  </w:style>
  <w:style w:type="paragraph" w:customStyle="1" w:styleId="TableParagraph">
    <w:name w:val="Table Paragraph"/>
    <w:basedOn w:val="a"/>
    <w:uiPriority w:val="1"/>
    <w:qFormat/>
    <w:pPr>
      <w:jc w:val="left"/>
    </w:pPr>
    <w:rPr>
      <w:rFonts w:eastAsiaTheme="minorEastAsia"/>
      <w:kern w:val="0"/>
      <w:sz w:val="22"/>
      <w:szCs w:val="22"/>
      <w:lang w:eastAsia="en-US"/>
    </w:rPr>
  </w:style>
  <w:style w:type="paragraph" w:customStyle="1" w:styleId="10">
    <w:name w:val="修订1"/>
    <w:hidden/>
    <w:uiPriority w:val="99"/>
    <w:semiHidden/>
    <w:qFormat/>
    <w:rPr>
      <w:rFonts w:asciiTheme="minorHAnsi" w:eastAsia="方正仿宋简体" w:hAnsiTheme="minorHAnsi" w:cstheme="minorBidi"/>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3768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D14AE8-C5A9-425E-882E-1C0746FEE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2451</Words>
  <Characters>13976</Characters>
  <Application>Microsoft Office Word</Application>
  <DocSecurity>0</DocSecurity>
  <Lines>116</Lines>
  <Paragraphs>32</Paragraphs>
  <ScaleCrop>false</ScaleCrop>
  <Company>微软中国</Company>
  <LinksUpToDate>false</LinksUpToDate>
  <CharactersWithSpaces>16395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周丽华</cp:lastModifiedBy>
  <cp:revision>3</cp:revision>
  <cp:lastPrinted>2021-11-23T07:22:00Z</cp:lastPrinted>
  <dcterms:created xsi:type="dcterms:W3CDTF">2025-03-12T08:32:00Z</dcterms:created>
  <dcterms:modified xsi:type="dcterms:W3CDTF">2025-03-12T08:34:00Z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44E47AAEDAA14A2EAF9C5401F227C32F</vt:lpwstr>
  </property>
  <property fmtid="{D5CDD505-2E9C-101B-9397-08002B2CF9AE}" pid="4" name="KSOTemplateDocerSaveRecord">
    <vt:lpwstr>eyJoZGlkIjoiNzVlNTU5ZTgwNjFmMGE0ODUyOWQ5YWYwZmVjNDQ0ZWQifQ==</vt:lpwstr>
  </property>
</Properties>
</file>