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CC4" w:rsidRDefault="00D16E02">
      <w:pPr>
        <w:spacing w:line="300" w:lineRule="auto"/>
        <w:rPr>
          <w:rFonts w:ascii="Times New Roman" w:hAnsi="Times New Roman" w:cs="Times New Roman"/>
          <w:b/>
          <w:sz w:val="28"/>
          <w:szCs w:val="28"/>
        </w:rPr>
      </w:pPr>
      <w:bookmarkStart w:id="0" w:name="_GoBack"/>
      <w:bookmarkEnd w:id="0"/>
      <w:r>
        <w:rPr>
          <w:rFonts w:ascii="Times New Roman" w:hAnsi="Times New Roman" w:cs="Times New Roman"/>
          <w:b/>
          <w:sz w:val="28"/>
          <w:szCs w:val="28"/>
        </w:rPr>
        <w:t>附件</w:t>
      </w:r>
      <w:r>
        <w:rPr>
          <w:rFonts w:ascii="Times New Roman" w:hAnsi="Times New Roman" w:cs="Times New Roman" w:hint="eastAsia"/>
          <w:b/>
          <w:sz w:val="28"/>
          <w:szCs w:val="28"/>
        </w:rPr>
        <w:t>3</w:t>
      </w:r>
    </w:p>
    <w:p w:rsidR="002F3CC4" w:rsidRDefault="002F3CC4">
      <w:pPr>
        <w:spacing w:after="156" w:line="300" w:lineRule="auto"/>
        <w:jc w:val="center"/>
        <w:textAlignment w:val="baseline"/>
        <w:rPr>
          <w:rStyle w:val="NormalCharacter"/>
          <w:rFonts w:ascii="方正小标宋简体" w:eastAsia="方正小标宋简体" w:hAnsi="宋体"/>
          <w:b/>
          <w:sz w:val="44"/>
          <w:szCs w:val="44"/>
        </w:rPr>
      </w:pPr>
    </w:p>
    <w:p w:rsidR="002F3CC4" w:rsidRDefault="002F3CC4">
      <w:pPr>
        <w:spacing w:after="156" w:line="300" w:lineRule="auto"/>
        <w:jc w:val="center"/>
        <w:textAlignment w:val="baseline"/>
        <w:rPr>
          <w:rStyle w:val="NormalCharacter"/>
          <w:rFonts w:ascii="方正小标宋简体" w:eastAsia="方正小标宋简体" w:hAnsi="宋体" w:cs="Times New Roman"/>
          <w:bCs/>
          <w:sz w:val="44"/>
          <w:szCs w:val="44"/>
        </w:rPr>
      </w:pPr>
    </w:p>
    <w:p w:rsidR="002F3CC4" w:rsidRDefault="002F3CC4">
      <w:pPr>
        <w:spacing w:after="156" w:line="300" w:lineRule="auto"/>
        <w:jc w:val="center"/>
        <w:textAlignment w:val="baseline"/>
        <w:rPr>
          <w:rStyle w:val="NormalCharacter"/>
          <w:rFonts w:ascii="方正小标宋简体" w:eastAsia="方正小标宋简体" w:hAnsi="宋体" w:cs="Times New Roman"/>
          <w:bCs/>
          <w:sz w:val="44"/>
          <w:szCs w:val="44"/>
        </w:rPr>
      </w:pPr>
    </w:p>
    <w:p w:rsidR="002F3CC4" w:rsidRDefault="001C3F08">
      <w:pPr>
        <w:spacing w:after="156" w:line="300" w:lineRule="auto"/>
        <w:jc w:val="center"/>
        <w:textAlignment w:val="baseline"/>
        <w:rPr>
          <w:rStyle w:val="NormalCharacter"/>
          <w:rFonts w:ascii="方正小标宋简体" w:eastAsia="方正小标宋简体" w:hAnsi="宋体" w:cs="Times New Roman"/>
          <w:bCs/>
          <w:sz w:val="44"/>
          <w:szCs w:val="44"/>
        </w:rPr>
      </w:pPr>
      <w:r w:rsidRPr="001C3F08">
        <w:rPr>
          <w:rStyle w:val="NormalCharacter"/>
          <w:rFonts w:ascii="方正小标宋简体" w:eastAsia="方正小标宋简体" w:hAnsi="宋体" w:cs="Times New Roman" w:hint="eastAsia"/>
          <w:bCs/>
          <w:sz w:val="44"/>
          <w:szCs w:val="44"/>
        </w:rPr>
        <w:t>学位授权点</w:t>
      </w:r>
      <w:r>
        <w:rPr>
          <w:rStyle w:val="NormalCharacter"/>
          <w:rFonts w:ascii="方正小标宋简体" w:eastAsia="方正小标宋简体" w:hAnsi="宋体" w:cs="Times New Roman" w:hint="eastAsia"/>
          <w:bCs/>
          <w:sz w:val="44"/>
          <w:szCs w:val="44"/>
        </w:rPr>
        <w:t>质量</w:t>
      </w:r>
      <w:r w:rsidRPr="001C3F08">
        <w:rPr>
          <w:rStyle w:val="NormalCharacter"/>
          <w:rFonts w:ascii="方正小标宋简体" w:eastAsia="方正小标宋简体" w:hAnsi="宋体" w:cs="Times New Roman" w:hint="eastAsia"/>
          <w:bCs/>
          <w:sz w:val="44"/>
          <w:szCs w:val="44"/>
        </w:rPr>
        <w:t>建设年度报告</w:t>
      </w:r>
    </w:p>
    <w:p w:rsidR="002F3CC4" w:rsidRDefault="00D16E02">
      <w:pPr>
        <w:spacing w:after="156" w:line="300" w:lineRule="auto"/>
        <w:jc w:val="center"/>
        <w:textAlignment w:val="baseline"/>
        <w:rPr>
          <w:rStyle w:val="NormalCharacter"/>
          <w:rFonts w:ascii="方正小标宋简体" w:eastAsia="方正小标宋简体" w:hAnsi="宋体" w:cs="Times New Roman"/>
          <w:bCs/>
          <w:sz w:val="44"/>
          <w:szCs w:val="44"/>
        </w:rPr>
      </w:pPr>
      <w:r>
        <w:rPr>
          <w:rStyle w:val="NormalCharacter"/>
          <w:rFonts w:ascii="方正小标宋简体" w:eastAsia="方正小标宋简体" w:hAnsi="宋体" w:cs="Times New Roman"/>
          <w:bCs/>
          <w:sz w:val="44"/>
          <w:szCs w:val="44"/>
        </w:rPr>
        <w:t>（</w:t>
      </w:r>
      <w:r>
        <w:rPr>
          <w:rStyle w:val="NormalCharacter"/>
          <w:rFonts w:ascii="方正小标宋简体" w:eastAsia="方正小标宋简体" w:hAnsi="宋体" w:cs="Times New Roman" w:hint="eastAsia"/>
          <w:bCs/>
          <w:sz w:val="44"/>
          <w:szCs w:val="44"/>
        </w:rPr>
        <w:t>2020年</w:t>
      </w:r>
      <w:r>
        <w:rPr>
          <w:rStyle w:val="NormalCharacter"/>
          <w:rFonts w:ascii="方正小标宋简体" w:eastAsia="方正小标宋简体" w:hAnsi="宋体" w:cs="Times New Roman"/>
          <w:bCs/>
          <w:sz w:val="44"/>
          <w:szCs w:val="44"/>
        </w:rPr>
        <w:t>）</w:t>
      </w:r>
    </w:p>
    <w:p w:rsidR="002F3CC4" w:rsidRDefault="002F3CC4">
      <w:pPr>
        <w:spacing w:after="156" w:line="300" w:lineRule="auto"/>
        <w:jc w:val="center"/>
        <w:textAlignment w:val="baseline"/>
        <w:rPr>
          <w:rStyle w:val="NormalCharacter"/>
          <w:rFonts w:ascii="方正小标宋简体" w:eastAsia="方正小标宋简体" w:hAnsi="宋体" w:cs="Times New Roman"/>
          <w:bCs/>
          <w:sz w:val="44"/>
          <w:szCs w:val="44"/>
        </w:rPr>
      </w:pPr>
    </w:p>
    <w:p w:rsidR="002F3CC4" w:rsidRDefault="002F3CC4">
      <w:pPr>
        <w:snapToGrid w:val="0"/>
        <w:spacing w:line="300" w:lineRule="auto"/>
        <w:jc w:val="center"/>
        <w:textAlignment w:val="baseline"/>
        <w:rPr>
          <w:rStyle w:val="NormalCharacter"/>
          <w:rFonts w:ascii="Times New Roman" w:eastAsia="宋体" w:hAnsi="Times New Roman"/>
          <w:b/>
          <w:sz w:val="48"/>
          <w:szCs w:val="20"/>
        </w:rPr>
      </w:pPr>
    </w:p>
    <w:p w:rsidR="002F3CC4" w:rsidRDefault="002F3CC4">
      <w:pPr>
        <w:snapToGrid w:val="0"/>
        <w:spacing w:line="300" w:lineRule="auto"/>
        <w:jc w:val="center"/>
        <w:textAlignment w:val="baseline"/>
        <w:rPr>
          <w:rStyle w:val="NormalCharacter"/>
          <w:rFonts w:ascii="Times New Roman" w:eastAsia="宋体" w:hAnsi="Times New Roman"/>
          <w:b/>
          <w:sz w:val="48"/>
          <w:szCs w:val="20"/>
        </w:rPr>
      </w:pPr>
    </w:p>
    <w:p w:rsidR="002F3CC4" w:rsidRDefault="002F3CC4">
      <w:pPr>
        <w:snapToGrid w:val="0"/>
        <w:spacing w:line="300" w:lineRule="auto"/>
        <w:jc w:val="center"/>
        <w:textAlignment w:val="baseline"/>
        <w:rPr>
          <w:rStyle w:val="NormalCharacter"/>
          <w:rFonts w:ascii="Times New Roman" w:eastAsia="宋体" w:hAnsi="Times New Roman"/>
          <w:b/>
          <w:szCs w:val="32"/>
        </w:rPr>
      </w:pPr>
    </w:p>
    <w:tbl>
      <w:tblPr>
        <w:tblW w:w="5484" w:type="dxa"/>
        <w:jc w:val="center"/>
        <w:tblBorders>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507"/>
        <w:gridCol w:w="3977"/>
      </w:tblGrid>
      <w:tr w:rsidR="002F3CC4">
        <w:trPr>
          <w:trHeight w:val="794"/>
          <w:jc w:val="center"/>
        </w:trPr>
        <w:tc>
          <w:tcPr>
            <w:tcW w:w="1507" w:type="dxa"/>
            <w:vMerge w:val="restart"/>
            <w:tcBorders>
              <w:top w:val="nil"/>
              <w:left w:val="nil"/>
              <w:bottom w:val="single" w:sz="4" w:space="0" w:color="000000"/>
              <w:right w:val="single" w:sz="4" w:space="0" w:color="000000"/>
            </w:tcBorders>
            <w:vAlign w:val="center"/>
          </w:tcPr>
          <w:p w:rsidR="002F3CC4" w:rsidRDefault="00D16E02">
            <w:pPr>
              <w:snapToGrid w:val="0"/>
              <w:spacing w:line="300" w:lineRule="auto"/>
              <w:jc w:val="center"/>
              <w:textAlignment w:val="baseline"/>
              <w:rPr>
                <w:rStyle w:val="NormalCharacter"/>
                <w:rFonts w:ascii="Times New Roman" w:eastAsia="宋体" w:hAnsi="Times New Roman"/>
                <w:b/>
                <w:spacing w:val="-10"/>
                <w:szCs w:val="32"/>
              </w:rPr>
            </w:pPr>
            <w:r>
              <w:rPr>
                <w:rStyle w:val="NormalCharacter"/>
                <w:rFonts w:ascii="Times New Roman" w:eastAsia="宋体" w:hAnsi="Times New Roman"/>
                <w:b/>
                <w:spacing w:val="-10"/>
                <w:szCs w:val="32"/>
              </w:rPr>
              <w:t>高校</w:t>
            </w:r>
          </w:p>
          <w:p w:rsidR="002F3CC4" w:rsidRDefault="00D16E02">
            <w:pPr>
              <w:snapToGrid w:val="0"/>
              <w:spacing w:line="300" w:lineRule="auto"/>
              <w:jc w:val="center"/>
              <w:textAlignment w:val="baseline"/>
              <w:rPr>
                <w:rStyle w:val="NormalCharacter"/>
                <w:rFonts w:ascii="Times New Roman" w:eastAsia="宋体" w:hAnsi="Times New Roman"/>
                <w:b/>
                <w:spacing w:val="-10"/>
                <w:szCs w:val="32"/>
              </w:rPr>
            </w:pPr>
            <w:r>
              <w:rPr>
                <w:rStyle w:val="NormalCharacter"/>
                <w:rFonts w:ascii="Times New Roman" w:eastAsia="宋体" w:hAnsi="Times New Roman"/>
                <w:b/>
                <w:spacing w:val="-10"/>
                <w:szCs w:val="32"/>
              </w:rPr>
              <w:t>（公章）</w:t>
            </w:r>
          </w:p>
        </w:tc>
        <w:tc>
          <w:tcPr>
            <w:tcW w:w="3977" w:type="dxa"/>
            <w:tcBorders>
              <w:top w:val="nil"/>
              <w:left w:val="single" w:sz="4" w:space="0" w:color="000000"/>
              <w:bottom w:val="single" w:sz="4" w:space="0" w:color="000000"/>
              <w:right w:val="nil"/>
            </w:tcBorders>
            <w:vAlign w:val="center"/>
          </w:tcPr>
          <w:p w:rsidR="002F3CC4" w:rsidRDefault="00D16E02">
            <w:pPr>
              <w:snapToGrid w:val="0"/>
              <w:spacing w:line="300" w:lineRule="auto"/>
              <w:textAlignment w:val="baseline"/>
              <w:rPr>
                <w:rStyle w:val="NormalCharacter"/>
                <w:rFonts w:ascii="Times New Roman" w:eastAsia="宋体" w:hAnsi="Times New Roman"/>
                <w:b/>
                <w:spacing w:val="-10"/>
                <w:szCs w:val="32"/>
              </w:rPr>
            </w:pPr>
            <w:r>
              <w:rPr>
                <w:rStyle w:val="NormalCharacter"/>
                <w:rFonts w:ascii="Times New Roman" w:eastAsia="宋体" w:hAnsi="Times New Roman"/>
                <w:b/>
                <w:spacing w:val="-10"/>
                <w:szCs w:val="32"/>
              </w:rPr>
              <w:t>名称：</w:t>
            </w:r>
            <w:r>
              <w:rPr>
                <w:rStyle w:val="NormalCharacter"/>
                <w:rFonts w:ascii="Times New Roman" w:eastAsia="宋体" w:hAnsi="Times New Roman" w:hint="eastAsia"/>
                <w:b/>
                <w:spacing w:val="-10"/>
                <w:szCs w:val="32"/>
              </w:rPr>
              <w:t>金融</w:t>
            </w:r>
          </w:p>
        </w:tc>
      </w:tr>
      <w:tr w:rsidR="002F3CC4">
        <w:trPr>
          <w:trHeight w:val="794"/>
          <w:jc w:val="center"/>
        </w:trPr>
        <w:tc>
          <w:tcPr>
            <w:tcW w:w="1507" w:type="dxa"/>
            <w:vMerge/>
            <w:tcBorders>
              <w:top w:val="single" w:sz="4" w:space="0" w:color="000000"/>
              <w:left w:val="nil"/>
              <w:bottom w:val="nil"/>
              <w:right w:val="single" w:sz="4" w:space="0" w:color="000000"/>
            </w:tcBorders>
            <w:vAlign w:val="center"/>
          </w:tcPr>
          <w:p w:rsidR="002F3CC4" w:rsidRDefault="002F3CC4">
            <w:pPr>
              <w:snapToGrid w:val="0"/>
              <w:spacing w:line="300" w:lineRule="auto"/>
              <w:jc w:val="center"/>
              <w:textAlignment w:val="baseline"/>
              <w:rPr>
                <w:rStyle w:val="NormalCharacter"/>
                <w:rFonts w:ascii="Times New Roman" w:eastAsia="宋体" w:hAnsi="Times New Roman"/>
                <w:b/>
                <w:spacing w:val="-10"/>
                <w:szCs w:val="32"/>
              </w:rPr>
            </w:pPr>
          </w:p>
        </w:tc>
        <w:tc>
          <w:tcPr>
            <w:tcW w:w="3977" w:type="dxa"/>
            <w:tcBorders>
              <w:top w:val="single" w:sz="4" w:space="0" w:color="000000"/>
              <w:left w:val="single" w:sz="4" w:space="0" w:color="000000"/>
              <w:bottom w:val="nil"/>
              <w:right w:val="nil"/>
            </w:tcBorders>
            <w:vAlign w:val="center"/>
          </w:tcPr>
          <w:p w:rsidR="002F3CC4" w:rsidRDefault="00D16E02">
            <w:pPr>
              <w:snapToGrid w:val="0"/>
              <w:spacing w:line="300" w:lineRule="auto"/>
              <w:textAlignment w:val="baseline"/>
              <w:rPr>
                <w:rStyle w:val="NormalCharacter"/>
                <w:rFonts w:ascii="Times New Roman" w:eastAsia="宋体" w:hAnsi="Times New Roman"/>
                <w:b/>
                <w:spacing w:val="-10"/>
                <w:szCs w:val="32"/>
              </w:rPr>
            </w:pPr>
            <w:r>
              <w:rPr>
                <w:rStyle w:val="NormalCharacter"/>
                <w:rFonts w:ascii="Times New Roman" w:eastAsia="宋体" w:hAnsi="Times New Roman"/>
                <w:b/>
                <w:spacing w:val="-10"/>
                <w:szCs w:val="32"/>
              </w:rPr>
              <w:t>代码：</w:t>
            </w:r>
            <w:r>
              <w:rPr>
                <w:rStyle w:val="NormalCharacter"/>
                <w:rFonts w:ascii="Times New Roman" w:eastAsia="宋体" w:hAnsi="Times New Roman" w:hint="eastAsia"/>
                <w:b/>
                <w:spacing w:val="-10"/>
                <w:szCs w:val="32"/>
              </w:rPr>
              <w:t>0</w:t>
            </w:r>
            <w:r>
              <w:rPr>
                <w:rStyle w:val="NormalCharacter"/>
                <w:rFonts w:ascii="Times New Roman" w:eastAsia="宋体" w:hAnsi="Times New Roman"/>
                <w:b/>
                <w:spacing w:val="-10"/>
                <w:szCs w:val="32"/>
              </w:rPr>
              <w:t>251</w:t>
            </w:r>
          </w:p>
        </w:tc>
      </w:tr>
    </w:tbl>
    <w:p w:rsidR="002F3CC4" w:rsidRDefault="002F3CC4">
      <w:pPr>
        <w:snapToGrid w:val="0"/>
        <w:spacing w:line="300" w:lineRule="auto"/>
        <w:jc w:val="center"/>
        <w:textAlignment w:val="baseline"/>
        <w:rPr>
          <w:rStyle w:val="NormalCharacter"/>
          <w:rFonts w:ascii="Times New Roman" w:eastAsia="宋体" w:hAnsi="Times New Roman"/>
          <w:b/>
          <w:sz w:val="48"/>
          <w:szCs w:val="20"/>
        </w:rPr>
      </w:pPr>
    </w:p>
    <w:p w:rsidR="002F3CC4" w:rsidRDefault="002F3CC4">
      <w:pPr>
        <w:spacing w:line="300" w:lineRule="auto"/>
        <w:jc w:val="center"/>
        <w:textAlignment w:val="baseline"/>
        <w:rPr>
          <w:rStyle w:val="NormalCharacter"/>
          <w:rFonts w:ascii="Times New Roman" w:eastAsia="楷体_GB2312" w:hAnsi="Times New Roman"/>
          <w:b/>
          <w:sz w:val="30"/>
          <w:szCs w:val="30"/>
        </w:rPr>
      </w:pPr>
    </w:p>
    <w:p w:rsidR="002F3CC4" w:rsidRDefault="002F3CC4">
      <w:pPr>
        <w:pStyle w:val="Heading3"/>
        <w:widowControl/>
        <w:spacing w:line="300" w:lineRule="auto"/>
        <w:rPr>
          <w:rStyle w:val="NormalCharacter"/>
          <w:rFonts w:ascii="黑体" w:eastAsia="黑体" w:hAnsi="黑体"/>
          <w:color w:val="auto"/>
          <w:szCs w:val="32"/>
        </w:rPr>
      </w:pPr>
    </w:p>
    <w:p w:rsidR="002F3CC4" w:rsidRDefault="002F3CC4">
      <w:pPr>
        <w:spacing w:line="300" w:lineRule="auto"/>
        <w:jc w:val="center"/>
        <w:textAlignment w:val="baseline"/>
        <w:rPr>
          <w:rStyle w:val="NormalCharacter"/>
          <w:rFonts w:ascii="Times New Roman" w:eastAsia="楷体_GB2312" w:hAnsi="Times New Roman"/>
          <w:b/>
          <w:sz w:val="30"/>
          <w:szCs w:val="30"/>
        </w:rPr>
      </w:pPr>
    </w:p>
    <w:p w:rsidR="002F3CC4" w:rsidRDefault="00D16E02">
      <w:pPr>
        <w:spacing w:line="300" w:lineRule="auto"/>
        <w:jc w:val="center"/>
        <w:textAlignment w:val="baseline"/>
        <w:rPr>
          <w:rStyle w:val="NormalCharacter"/>
          <w:rFonts w:ascii="黑体" w:eastAsia="黑体" w:hAnsi="黑体"/>
          <w:szCs w:val="32"/>
        </w:rPr>
        <w:sectPr w:rsidR="002F3CC4">
          <w:footerReference w:type="default" r:id="rId9"/>
          <w:pgSz w:w="11906" w:h="16838"/>
          <w:pgMar w:top="1417" w:right="1587" w:bottom="1417" w:left="1474" w:header="851" w:footer="992" w:gutter="0"/>
          <w:pgNumType w:start="1"/>
          <w:cols w:space="425"/>
          <w:docGrid w:type="lines" w:linePitch="312"/>
        </w:sectPr>
      </w:pPr>
      <w:r>
        <w:rPr>
          <w:rStyle w:val="NormalCharacter"/>
          <w:rFonts w:ascii="Times New Roman" w:eastAsia="楷体_GB2312" w:hAnsi="Times New Roman"/>
          <w:b/>
          <w:szCs w:val="32"/>
        </w:rPr>
        <w:t>2021</w:t>
      </w:r>
      <w:r>
        <w:rPr>
          <w:rStyle w:val="NormalCharacter"/>
          <w:rFonts w:ascii="Times New Roman" w:eastAsia="楷体_GB2312" w:hAnsi="Times New Roman"/>
          <w:b/>
          <w:szCs w:val="32"/>
        </w:rPr>
        <w:t>年</w:t>
      </w:r>
      <w:r>
        <w:rPr>
          <w:rStyle w:val="NormalCharacter"/>
          <w:rFonts w:ascii="Times New Roman" w:eastAsia="楷体_GB2312" w:hAnsi="Times New Roman" w:hint="eastAsia"/>
          <w:b/>
          <w:szCs w:val="32"/>
        </w:rPr>
        <w:t>3</w:t>
      </w:r>
      <w:r>
        <w:rPr>
          <w:rStyle w:val="NormalCharacter"/>
          <w:rFonts w:ascii="Times New Roman" w:eastAsia="楷体_GB2312" w:hAnsi="Times New Roman"/>
          <w:b/>
          <w:szCs w:val="32"/>
        </w:rPr>
        <w:t>月</w:t>
      </w:r>
      <w:r>
        <w:rPr>
          <w:rStyle w:val="NormalCharacter"/>
          <w:rFonts w:ascii="Times New Roman" w:eastAsia="楷体_GB2312" w:hAnsi="Times New Roman"/>
          <w:b/>
          <w:szCs w:val="32"/>
        </w:rPr>
        <w:t>16</w:t>
      </w:r>
      <w:r>
        <w:rPr>
          <w:rStyle w:val="NormalCharacter"/>
          <w:rFonts w:ascii="Times New Roman" w:eastAsia="楷体_GB2312" w:hAnsi="Times New Roman"/>
          <w:b/>
          <w:szCs w:val="32"/>
        </w:rPr>
        <w:t>日</w:t>
      </w:r>
    </w:p>
    <w:p w:rsidR="002F3CC4" w:rsidRDefault="00D16E02">
      <w:pPr>
        <w:widowControl/>
        <w:spacing w:line="300" w:lineRule="auto"/>
        <w:textAlignment w:val="baseline"/>
        <w:rPr>
          <w:rStyle w:val="NormalCharacter"/>
          <w:rFonts w:asciiTheme="minorEastAsia" w:eastAsiaTheme="minorEastAsia" w:hAnsiTheme="minorEastAsia" w:cs="方正仿宋简体"/>
          <w:szCs w:val="32"/>
        </w:rPr>
      </w:pPr>
      <w:r>
        <w:rPr>
          <w:rStyle w:val="NormalCharacter"/>
          <w:rFonts w:ascii="黑体" w:eastAsia="黑体" w:hAnsi="黑体" w:hint="eastAsia"/>
          <w:szCs w:val="32"/>
        </w:rPr>
        <w:lastRenderedPageBreak/>
        <w:t xml:space="preserve">   </w:t>
      </w:r>
      <w:r>
        <w:rPr>
          <w:rStyle w:val="NormalCharacter"/>
          <w:rFonts w:ascii="黑体" w:eastAsia="黑体" w:hAnsi="黑体" w:cs="黑体" w:hint="eastAsia"/>
          <w:szCs w:val="32"/>
        </w:rPr>
        <w:t xml:space="preserve"> 一、总体概况</w:t>
      </w:r>
    </w:p>
    <w:p w:rsidR="002F3CC4" w:rsidRDefault="00D16E02">
      <w:pPr>
        <w:pStyle w:val="3"/>
        <w:spacing w:line="300" w:lineRule="auto"/>
        <w:rPr>
          <w:rFonts w:ascii="仿宋_GB2312" w:eastAsia="仿宋_GB2312" w:hAnsi="仿宋_GB2312" w:cs="仿宋_GB2312"/>
          <w:color w:val="auto"/>
          <w:kern w:val="0"/>
        </w:rPr>
      </w:pPr>
      <w:r>
        <w:rPr>
          <w:rFonts w:ascii="仿宋_GB2312" w:eastAsia="仿宋_GB2312" w:hAnsi="仿宋_GB2312" w:cs="仿宋_GB2312" w:hint="eastAsia"/>
          <w:color w:val="auto"/>
          <w:kern w:val="0"/>
        </w:rPr>
        <w:t>学位授权点基本情况，学科建设情况，研究生招生、在读、毕业、学位授予及就业基本状况，研究生导师状况（总体规模、队伍结构）。</w:t>
      </w:r>
    </w:p>
    <w:p w:rsidR="002F3CC4" w:rsidRDefault="00D16E02">
      <w:pPr>
        <w:autoSpaceDE w:val="0"/>
        <w:autoSpaceDN w:val="0"/>
        <w:adjustRightInd w:val="0"/>
        <w:spacing w:line="300" w:lineRule="auto"/>
        <w:ind w:firstLineChars="200" w:firstLine="640"/>
        <w:jc w:val="left"/>
        <w:rPr>
          <w:rFonts w:ascii="仿宋_GB2312" w:eastAsia="仿宋_GB2312" w:hAnsi="仿宋_GB2312" w:cs="仿宋_GB2312"/>
          <w:kern w:val="0"/>
          <w:szCs w:val="32"/>
        </w:rPr>
      </w:pPr>
      <w:r>
        <w:rPr>
          <w:rFonts w:ascii="仿宋_GB2312" w:eastAsia="仿宋_GB2312" w:hAnsi="仿宋_GB2312" w:cs="仿宋_GB2312" w:hint="eastAsia"/>
          <w:kern w:val="0"/>
          <w:szCs w:val="32"/>
        </w:rPr>
        <w:t>本专业学位授权点于2010年获批，2011年开始招生。依托金融学国家重点学科、应用经济学一级学科博士点及多个省市重点研究基地，本专业学位点搭建了高层次人才培养的优势平台和完整体系，同时也是港澳台地区高层次金融人才培养重镇，在华南地区乃至全国具有重要影响。</w:t>
      </w:r>
    </w:p>
    <w:p w:rsidR="002F3CC4" w:rsidRDefault="00D16E02">
      <w:pPr>
        <w:autoSpaceDE w:val="0"/>
        <w:autoSpaceDN w:val="0"/>
        <w:adjustRightInd w:val="0"/>
        <w:spacing w:line="300" w:lineRule="auto"/>
        <w:ind w:firstLineChars="200" w:firstLine="640"/>
        <w:jc w:val="left"/>
        <w:rPr>
          <w:rFonts w:ascii="仿宋_GB2312" w:eastAsia="仿宋_GB2312" w:hAnsi="仿宋_GB2312" w:cs="仿宋_GB2312"/>
          <w:kern w:val="0"/>
          <w:szCs w:val="32"/>
        </w:rPr>
      </w:pPr>
      <w:r>
        <w:rPr>
          <w:rFonts w:ascii="仿宋_GB2312" w:eastAsia="仿宋_GB2312" w:hAnsi="仿宋_GB2312" w:cs="仿宋_GB2312" w:hint="eastAsia"/>
          <w:kern w:val="0"/>
          <w:szCs w:val="32"/>
        </w:rPr>
        <w:t>本专业学位教育以培养“国际一流、服务湾区”的高端复合型金融人才为理念，注重培养学生系统地掌握金融领域的专业知识，坚持创新思维与社会实践相结合、国际化与本土化相结合的培养模式，着力提升学生将现代金融管理理念融通于实际业务操作的能力，成为具有国际视野、扎实理论基础和强大实操能力，能够胜任金融和其他领域工作的高素质人才。具体情况如下：</w:t>
      </w:r>
    </w:p>
    <w:p w:rsidR="002F3CC4" w:rsidRPr="00D16E02" w:rsidRDefault="00D16E02">
      <w:pPr>
        <w:autoSpaceDE w:val="0"/>
        <w:autoSpaceDN w:val="0"/>
        <w:adjustRightInd w:val="0"/>
        <w:spacing w:line="300" w:lineRule="auto"/>
        <w:ind w:firstLineChars="200" w:firstLine="640"/>
        <w:jc w:val="left"/>
        <w:rPr>
          <w:rFonts w:ascii="仿宋_GB2312" w:eastAsia="仿宋_GB2312" w:hAnsi="仿宋_GB2312" w:cs="仿宋_GB2312"/>
          <w:color w:val="000000" w:themeColor="text1"/>
          <w:kern w:val="0"/>
          <w:szCs w:val="32"/>
        </w:rPr>
      </w:pPr>
      <w:r>
        <w:rPr>
          <w:rFonts w:ascii="仿宋_GB2312" w:eastAsia="仿宋_GB2312" w:hAnsi="仿宋_GB2312" w:cs="仿宋_GB2312" w:hint="eastAsia"/>
          <w:kern w:val="0"/>
          <w:szCs w:val="32"/>
        </w:rPr>
        <w:t>1. 生源质量好。大部分学生来自国家“双一流”高校或国内重点大学，</w:t>
      </w:r>
      <w:r w:rsidRPr="00D16E02">
        <w:rPr>
          <w:rFonts w:ascii="仿宋_GB2312" w:eastAsia="仿宋_GB2312" w:hAnsi="仿宋_GB2312" w:cs="仿宋_GB2312" w:hint="eastAsia"/>
          <w:color w:val="000000" w:themeColor="text1"/>
          <w:kern w:val="0"/>
          <w:szCs w:val="32"/>
        </w:rPr>
        <w:t>近五年考录比近20：1。2020年，硕士研究生报考人数为1473人，近五年报考人数呈现逐年增加的趋势，实际录取人数为171人。近5年总的录取比例为5.9%，呈现逐年下降趋势，说明本专业学位点受到更多考生欢迎。2020年在读人数290人。</w:t>
      </w:r>
    </w:p>
    <w:p w:rsidR="002F3CC4" w:rsidRDefault="00D16E02">
      <w:pPr>
        <w:autoSpaceDE w:val="0"/>
        <w:autoSpaceDN w:val="0"/>
        <w:adjustRightInd w:val="0"/>
        <w:spacing w:line="300" w:lineRule="auto"/>
        <w:ind w:firstLineChars="200" w:firstLine="640"/>
        <w:jc w:val="left"/>
        <w:rPr>
          <w:rFonts w:ascii="仿宋_GB2312" w:eastAsia="仿宋_GB2312" w:hAnsi="仿宋_GB2312" w:cs="仿宋_GB2312"/>
          <w:kern w:val="0"/>
          <w:szCs w:val="32"/>
        </w:rPr>
      </w:pPr>
      <w:r w:rsidRPr="00D16E02">
        <w:rPr>
          <w:rFonts w:ascii="仿宋_GB2312" w:eastAsia="仿宋_GB2312" w:hAnsi="仿宋_GB2312" w:cs="仿宋_GB2312" w:hint="eastAsia"/>
          <w:color w:val="000000" w:themeColor="text1"/>
          <w:kern w:val="0"/>
          <w:szCs w:val="32"/>
        </w:rPr>
        <w:t>2. 师资力量雄厚。目前有校内指导老师61人，均具有海外</w:t>
      </w:r>
      <w:r>
        <w:rPr>
          <w:rFonts w:ascii="仿宋_GB2312" w:eastAsia="仿宋_GB2312" w:hAnsi="仿宋_GB2312" w:cs="仿宋_GB2312" w:hint="eastAsia"/>
          <w:kern w:val="0"/>
          <w:szCs w:val="32"/>
        </w:rPr>
        <w:t>教育背景。其中正高级19人，副高级35人，中级7人；具有博士</w:t>
      </w:r>
      <w:r>
        <w:rPr>
          <w:rFonts w:ascii="仿宋_GB2312" w:eastAsia="仿宋_GB2312" w:hAnsi="仿宋_GB2312" w:cs="仿宋_GB2312" w:hint="eastAsia"/>
          <w:kern w:val="0"/>
          <w:szCs w:val="32"/>
        </w:rPr>
        <w:lastRenderedPageBreak/>
        <w:t>学位的共58人，占比95%；35岁以下有5人，36-45岁有28人，46岁以上有28人。校外导师共计71人，均有较强的职业背景及丰富的实践经验。</w:t>
      </w:r>
    </w:p>
    <w:p w:rsidR="002F3CC4" w:rsidRDefault="00D16E02">
      <w:pPr>
        <w:autoSpaceDE w:val="0"/>
        <w:autoSpaceDN w:val="0"/>
        <w:adjustRightInd w:val="0"/>
        <w:spacing w:line="300" w:lineRule="auto"/>
        <w:ind w:firstLineChars="200" w:firstLine="640"/>
        <w:jc w:val="left"/>
        <w:rPr>
          <w:rFonts w:ascii="仿宋_GB2312" w:eastAsia="仿宋_GB2312" w:hAnsi="仿宋_GB2312" w:cs="仿宋_GB2312"/>
          <w:kern w:val="0"/>
          <w:szCs w:val="32"/>
        </w:rPr>
      </w:pPr>
      <w:r>
        <w:rPr>
          <w:rFonts w:ascii="仿宋_GB2312" w:eastAsia="仿宋_GB2312" w:hAnsi="仿宋_GB2312" w:cs="仿宋_GB2312" w:hint="eastAsia"/>
          <w:kern w:val="0"/>
          <w:szCs w:val="32"/>
        </w:rPr>
        <w:t>3. 学术氛围良好。近五年，获包括广东省高等学校教学名师奖在内的多项教学成果奖，在《经济研究》（12篇）、The Economic Journal等国内外权威期刊发表学术论文120余篇，主持国家级项目32项，省部级及横向课题80余项，深度服务于国家特别是广东的金融和经济发展。</w:t>
      </w:r>
    </w:p>
    <w:p w:rsidR="002F3CC4" w:rsidRPr="00D16E02" w:rsidRDefault="00D16E02">
      <w:pPr>
        <w:autoSpaceDE w:val="0"/>
        <w:autoSpaceDN w:val="0"/>
        <w:adjustRightInd w:val="0"/>
        <w:spacing w:line="300" w:lineRule="auto"/>
        <w:ind w:firstLineChars="200" w:firstLine="640"/>
        <w:jc w:val="left"/>
        <w:rPr>
          <w:rFonts w:ascii="仿宋_GB2312" w:eastAsia="仿宋_GB2312" w:hAnsi="仿宋_GB2312" w:cs="仿宋_GB2312"/>
          <w:color w:val="000000" w:themeColor="text1"/>
          <w:kern w:val="0"/>
          <w:szCs w:val="32"/>
        </w:rPr>
      </w:pPr>
      <w:r>
        <w:rPr>
          <w:rFonts w:ascii="仿宋_GB2312" w:eastAsia="仿宋_GB2312" w:hAnsi="仿宋_GB2312" w:cs="仿宋_GB2312" w:hint="eastAsia"/>
          <w:kern w:val="0"/>
          <w:szCs w:val="32"/>
        </w:rPr>
        <w:t>4. 培养</w:t>
      </w:r>
      <w:r w:rsidRPr="00D16E02">
        <w:rPr>
          <w:rFonts w:ascii="仿宋_GB2312" w:eastAsia="仿宋_GB2312" w:hAnsi="仿宋_GB2312" w:cs="仿宋_GB2312" w:hint="eastAsia"/>
          <w:color w:val="000000" w:themeColor="text1"/>
          <w:kern w:val="0"/>
          <w:szCs w:val="32"/>
        </w:rPr>
        <w:t>质量高。80%的毕业生就业于世界五百强企业，为港澳台地区输送高端金融人才近50名，受到业内的广泛认可。2020年共毕业108人，初次就业率92.59%，就业单位分布为党政机关3.1%，事业单位1.7%，国有企业36.8%，民营企业50%，三资企业3.7%。</w:t>
      </w:r>
    </w:p>
    <w:p w:rsidR="002F3CC4" w:rsidRDefault="00D16E02">
      <w:pPr>
        <w:autoSpaceDE w:val="0"/>
        <w:autoSpaceDN w:val="0"/>
        <w:adjustRightInd w:val="0"/>
        <w:spacing w:line="300" w:lineRule="auto"/>
        <w:ind w:firstLineChars="200" w:firstLine="640"/>
        <w:jc w:val="left"/>
        <w:rPr>
          <w:rFonts w:ascii="仿宋_GB2312" w:eastAsia="仿宋_GB2312" w:hAnsi="仿宋_GB2312" w:cs="仿宋_GB2312"/>
          <w:kern w:val="0"/>
          <w:szCs w:val="32"/>
        </w:rPr>
      </w:pPr>
      <w:r>
        <w:rPr>
          <w:rFonts w:ascii="仿宋_GB2312" w:eastAsia="仿宋_GB2312" w:hAnsi="仿宋_GB2312" w:cs="仿宋_GB2312" w:hint="eastAsia"/>
          <w:kern w:val="0"/>
          <w:szCs w:val="32"/>
        </w:rPr>
        <w:t>5. 与金融部门密切合作，积极开展产学研合作，先后与中国人民银行广州分行、广发证券公司等多家金融机构建立校外实践基地，实现校外导师与实习项目对接。</w:t>
      </w:r>
    </w:p>
    <w:p w:rsidR="002F3CC4" w:rsidRDefault="00D16E02">
      <w:pPr>
        <w:autoSpaceDE w:val="0"/>
        <w:autoSpaceDN w:val="0"/>
        <w:adjustRightInd w:val="0"/>
        <w:spacing w:line="300" w:lineRule="auto"/>
        <w:ind w:firstLineChars="200" w:firstLine="640"/>
        <w:jc w:val="left"/>
        <w:rPr>
          <w:rFonts w:ascii="仿宋_GB2312" w:eastAsia="仿宋_GB2312" w:hAnsi="仿宋_GB2312" w:cs="仿宋_GB2312"/>
          <w:kern w:val="0"/>
          <w:szCs w:val="32"/>
        </w:rPr>
      </w:pPr>
      <w:r>
        <w:rPr>
          <w:rFonts w:ascii="仿宋_GB2312" w:eastAsia="仿宋_GB2312" w:hAnsi="仿宋_GB2312" w:cs="仿宋_GB2312" w:hint="eastAsia"/>
          <w:kern w:val="0"/>
          <w:szCs w:val="32"/>
        </w:rPr>
        <w:t>6. 积极为地方经济金融发展提供智力支持，提出广东省“金融强省”战略、“化解地方重大金融风险”方案、提出南沙自贸区金融改革方案等。另外，与广东省政府联合成立暨南大学南方高等金融研究院智库，为广东省政府高层提供决策支持。</w:t>
      </w:r>
    </w:p>
    <w:p w:rsidR="002F3CC4" w:rsidRDefault="00D16E02">
      <w:pPr>
        <w:pStyle w:val="3"/>
        <w:spacing w:line="300" w:lineRule="auto"/>
        <w:rPr>
          <w:rStyle w:val="NormalCharacter"/>
          <w:rFonts w:ascii="黑体" w:eastAsia="黑体" w:hAnsi="黑体" w:cs="黑体"/>
          <w:color w:val="auto"/>
          <w:szCs w:val="32"/>
        </w:rPr>
      </w:pPr>
      <w:r>
        <w:rPr>
          <w:rStyle w:val="NormalCharacter"/>
          <w:rFonts w:ascii="黑体" w:eastAsia="黑体" w:hAnsi="黑体" w:cs="黑体" w:hint="eastAsia"/>
          <w:color w:val="auto"/>
          <w:szCs w:val="32"/>
        </w:rPr>
        <w:t>二、研究生党建与思想政治教育工作</w:t>
      </w:r>
    </w:p>
    <w:p w:rsidR="002F3CC4" w:rsidRDefault="00D16E02">
      <w:pPr>
        <w:pStyle w:val="3"/>
        <w:spacing w:line="300" w:lineRule="auto"/>
        <w:rPr>
          <w:rFonts w:ascii="仿宋_GB2312" w:eastAsia="仿宋_GB2312" w:hAnsi="仿宋_GB2312" w:cs="仿宋_GB2312"/>
          <w:color w:val="auto"/>
          <w:kern w:val="0"/>
        </w:rPr>
      </w:pPr>
      <w:r>
        <w:rPr>
          <w:rFonts w:ascii="仿宋_GB2312" w:eastAsia="仿宋_GB2312" w:hAnsi="仿宋_GB2312" w:cs="仿宋_GB2312" w:hint="eastAsia"/>
          <w:color w:val="auto"/>
          <w:kern w:val="0"/>
        </w:rPr>
        <w:t>思想政治教育队伍建设，理想信念和社会主义核心价值观教</w:t>
      </w:r>
      <w:r>
        <w:rPr>
          <w:rFonts w:ascii="仿宋_GB2312" w:eastAsia="仿宋_GB2312" w:hAnsi="仿宋_GB2312" w:cs="仿宋_GB2312" w:hint="eastAsia"/>
          <w:color w:val="auto"/>
          <w:kern w:val="0"/>
        </w:rPr>
        <w:lastRenderedPageBreak/>
        <w:t>育，校园文化建设，日常管理服务工作。</w:t>
      </w:r>
    </w:p>
    <w:p w:rsidR="002F3CC4" w:rsidRDefault="00D16E02">
      <w:pPr>
        <w:pStyle w:val="3"/>
        <w:spacing w:line="300" w:lineRule="auto"/>
        <w:rPr>
          <w:rFonts w:ascii="仿宋_GB2312" w:eastAsia="仿宋_GB2312" w:hAnsi="仿宋_GB2312" w:cs="仿宋_GB2312"/>
          <w:color w:val="auto"/>
          <w:kern w:val="0"/>
        </w:rPr>
      </w:pPr>
      <w:r>
        <w:rPr>
          <w:rFonts w:ascii="仿宋_GB2312" w:eastAsia="仿宋_GB2312" w:hAnsi="仿宋_GB2312" w:cs="仿宋_GB2312" w:hint="eastAsia"/>
          <w:color w:val="auto"/>
          <w:kern w:val="0"/>
        </w:rPr>
        <w:t>本专业学位全面贯彻习近平总书记关于教育的重要论述及视察广东和暨南大学重要讲话精神，围绕“培养什么人、怎样培养人、为谁培养人”这一根本问题，形成全员育人、全过程育人、全方位育人格局。积极构建协同育</w:t>
      </w:r>
      <w:r w:rsidR="00C057DD">
        <w:rPr>
          <w:rFonts w:ascii="仿宋_GB2312" w:eastAsia="仿宋_GB2312" w:hAnsi="仿宋_GB2312" w:cs="仿宋_GB2312" w:hint="eastAsia"/>
          <w:color w:val="auto"/>
          <w:kern w:val="0"/>
        </w:rPr>
        <w:t>人工作机制，把内地研究生培养成为德智体美劳全面发展的社会主义建设者和</w:t>
      </w:r>
      <w:r>
        <w:rPr>
          <w:rFonts w:ascii="仿宋_GB2312" w:eastAsia="仿宋_GB2312" w:hAnsi="仿宋_GB2312" w:cs="仿宋_GB2312" w:hint="eastAsia"/>
          <w:color w:val="auto"/>
          <w:kern w:val="0"/>
        </w:rPr>
        <w:t>接班人；把港澳台研究生培养成为拥护祖国统一、拥护“一国两制”的坚定爱国者；把华侨研究生培养成为高素质的中华文化传承者；把留学研究生培养成为中外文化交流中的友好使者。具体做法如下：</w:t>
      </w:r>
    </w:p>
    <w:p w:rsidR="002F3CC4" w:rsidRDefault="00D16E02">
      <w:pPr>
        <w:autoSpaceDE w:val="0"/>
        <w:autoSpaceDN w:val="0"/>
        <w:adjustRightInd w:val="0"/>
        <w:spacing w:line="300" w:lineRule="auto"/>
        <w:ind w:firstLineChars="200" w:firstLine="640"/>
        <w:jc w:val="left"/>
        <w:rPr>
          <w:rFonts w:ascii="仿宋_GB2312" w:eastAsia="仿宋_GB2312" w:hAnsi="仿宋_GB2312" w:cs="仿宋_GB2312"/>
          <w:kern w:val="0"/>
          <w:szCs w:val="32"/>
        </w:rPr>
      </w:pPr>
      <w:r>
        <w:rPr>
          <w:rFonts w:ascii="仿宋_GB2312" w:eastAsia="仿宋_GB2312" w:hAnsi="仿宋_GB2312" w:cs="仿宋_GB2312" w:hint="eastAsia"/>
          <w:kern w:val="0"/>
          <w:szCs w:val="32"/>
        </w:rPr>
        <w:t>1. 强化党委全面领导，建强改革“桥头堡”。强化思政工作体制机制，创新打造“金融家论坛”“名师下午茶”等品牌项目，由“点”到“线”、聚“面”成“体”，构建党委统一领导、党政齐抓共管、教学管理服务多部门联动、师生员工和家长校友共同参与的全员育人体系，构建“院系-班级-宿舍”三级预警和应急处置体系，筑牢意识形态阵地防线。</w:t>
      </w:r>
    </w:p>
    <w:p w:rsidR="002F3CC4" w:rsidRDefault="00D16E02">
      <w:pPr>
        <w:autoSpaceDE w:val="0"/>
        <w:autoSpaceDN w:val="0"/>
        <w:adjustRightInd w:val="0"/>
        <w:spacing w:line="300" w:lineRule="auto"/>
        <w:ind w:firstLineChars="200" w:firstLine="640"/>
        <w:jc w:val="left"/>
        <w:rPr>
          <w:rFonts w:ascii="仿宋_GB2312" w:eastAsia="仿宋_GB2312" w:hAnsi="仿宋_GB2312" w:cs="仿宋_GB2312"/>
          <w:kern w:val="0"/>
          <w:szCs w:val="32"/>
        </w:rPr>
      </w:pPr>
      <w:r>
        <w:rPr>
          <w:rFonts w:ascii="仿宋_GB2312" w:eastAsia="仿宋_GB2312" w:hAnsi="仿宋_GB2312" w:cs="仿宋_GB2312" w:hint="eastAsia"/>
          <w:kern w:val="0"/>
          <w:szCs w:val="32"/>
        </w:rPr>
        <w:t>2. 打造优秀思政队伍，建设育人“主力军”。坚持年度思政工作述职考核，签订意识形态工作责任书；执行《师德师风考核实施办法》，制定相关激励办法；以“教师党支部书记‘双带头人’培育计划”为切入点，发挥“头雁”引领作用；用好考核评价“指挥棒”，高标准推进思政队伍建设；开展“青年教师能力提升工作”，抓好育人“主力军”建设。</w:t>
      </w:r>
    </w:p>
    <w:p w:rsidR="002F3CC4" w:rsidRDefault="00D16E02">
      <w:pPr>
        <w:autoSpaceDE w:val="0"/>
        <w:autoSpaceDN w:val="0"/>
        <w:adjustRightInd w:val="0"/>
        <w:spacing w:line="300" w:lineRule="auto"/>
        <w:ind w:firstLineChars="200" w:firstLine="640"/>
        <w:jc w:val="left"/>
        <w:rPr>
          <w:rFonts w:ascii="仿宋_GB2312" w:eastAsia="仿宋_GB2312" w:hAnsi="仿宋_GB2312" w:cs="仿宋_GB2312"/>
          <w:kern w:val="0"/>
          <w:szCs w:val="32"/>
        </w:rPr>
      </w:pPr>
      <w:r>
        <w:rPr>
          <w:rFonts w:ascii="仿宋_GB2312" w:eastAsia="仿宋_GB2312" w:hAnsi="仿宋_GB2312" w:cs="仿宋_GB2312" w:hint="eastAsia"/>
          <w:kern w:val="0"/>
          <w:szCs w:val="32"/>
        </w:rPr>
        <w:t>3. 构筑协同育人模式，课程思政“有势头”。根据金融学科特点，以培养学生经世济民、诚信服务、德法兼修的职业素养为目标，开全开好研究生思想政治理论课，推进习近平新时代中国特色社会主义思想进教材、进课堂、进头脑。积极发掘“课程思政”教育功能，将专业课程所承载的思政元素融入到课程教学的各环节；充分发挥实践课堂育人功能，依托“广东千村调查”等实践育人品牌以及专业实践基地，为学生创造充分认识社会、研究社会的机会，突出培养学生的爱国情怀和社会认同感。</w:t>
      </w:r>
    </w:p>
    <w:p w:rsidR="002F3CC4" w:rsidRDefault="00D16E02">
      <w:pPr>
        <w:autoSpaceDE w:val="0"/>
        <w:autoSpaceDN w:val="0"/>
        <w:adjustRightInd w:val="0"/>
        <w:spacing w:line="300" w:lineRule="auto"/>
        <w:ind w:firstLineChars="200" w:firstLine="640"/>
        <w:jc w:val="left"/>
        <w:rPr>
          <w:rFonts w:ascii="仿宋_GB2312" w:eastAsia="仿宋_GB2312" w:hAnsi="仿宋_GB2312" w:cs="仿宋_GB2312"/>
          <w:kern w:val="0"/>
          <w:szCs w:val="32"/>
        </w:rPr>
      </w:pPr>
      <w:r>
        <w:rPr>
          <w:rFonts w:ascii="仿宋_GB2312" w:eastAsia="仿宋_GB2312" w:hAnsi="仿宋_GB2312" w:cs="仿宋_GB2312" w:hint="eastAsia"/>
          <w:kern w:val="0"/>
          <w:szCs w:val="32"/>
        </w:rPr>
        <w:t>4. 擦亮学科金字招牌，实现育人“全方位”。突出侨校特色，培养“有家国情怀、有过硬本领、有国际视野”的优秀金融人才。本专业学位实施了“信仰启航”“先锋示范”“卓越领航”三大工程，积极开展“学生党员先锋班”“优秀学子奖励计划”和“学生创新实践训练营”，培养又红又专的优秀学科人才。推进“优秀港澳台侨学生学业精进砥砺前行培养工程”，鼓励学生加入“港澳台侨学生国情社情考察团”，引导港澳台侨学生增强“四个认同”。落实“思政第一课”，推进朋辈发展工作坊，大力营造“至臻学业，多元共融”文化氛围，实现立体化育人格局。</w:t>
      </w:r>
    </w:p>
    <w:p w:rsidR="002F3CC4" w:rsidRDefault="00D16E02">
      <w:pPr>
        <w:autoSpaceDE w:val="0"/>
        <w:autoSpaceDN w:val="0"/>
        <w:adjustRightInd w:val="0"/>
        <w:spacing w:line="300" w:lineRule="auto"/>
        <w:ind w:firstLineChars="200" w:firstLine="640"/>
        <w:jc w:val="left"/>
        <w:rPr>
          <w:rFonts w:ascii="仿宋_GB2312" w:eastAsia="仿宋_GB2312" w:hAnsi="仿宋_GB2312" w:cs="仿宋_GB2312"/>
          <w:kern w:val="0"/>
          <w:szCs w:val="32"/>
        </w:rPr>
      </w:pPr>
      <w:r>
        <w:rPr>
          <w:rFonts w:ascii="仿宋_GB2312" w:eastAsia="仿宋_GB2312" w:hAnsi="仿宋_GB2312" w:cs="仿宋_GB2312" w:hint="eastAsia"/>
          <w:kern w:val="0"/>
          <w:szCs w:val="32"/>
        </w:rPr>
        <w:t>暨南大学坚持“大思政”的办学思路，构建了思政工作“1+8+X”制度群，加强了顶层的设计，将思想政治教育的成效与特色列为教育教学评价、学科建设的首要条件。本专业学位围绕学校整体部署，深入推进“三全育人”综合改革，将导心、导学、导行结合起来，把正确政治方向和价值导向贯穿研究生教育和管理工作全过程。主要成效如下：</w:t>
      </w:r>
    </w:p>
    <w:p w:rsidR="002F3CC4" w:rsidRDefault="00D16E02">
      <w:pPr>
        <w:autoSpaceDE w:val="0"/>
        <w:autoSpaceDN w:val="0"/>
        <w:adjustRightInd w:val="0"/>
        <w:spacing w:line="300" w:lineRule="auto"/>
        <w:ind w:firstLineChars="200" w:firstLine="640"/>
        <w:jc w:val="left"/>
        <w:rPr>
          <w:rFonts w:ascii="仿宋_GB2312" w:eastAsia="仿宋_GB2312" w:hAnsi="仿宋_GB2312" w:cs="仿宋_GB2312"/>
          <w:kern w:val="0"/>
          <w:szCs w:val="32"/>
        </w:rPr>
      </w:pPr>
      <w:r>
        <w:rPr>
          <w:rFonts w:ascii="仿宋_GB2312" w:eastAsia="仿宋_GB2312" w:hAnsi="仿宋_GB2312" w:cs="仿宋_GB2312" w:hint="eastAsia"/>
          <w:kern w:val="0"/>
          <w:szCs w:val="32"/>
        </w:rPr>
        <w:t>1. 育人有保障，党委全面领导作用突出。本专业学位党建工作扎实有力，品牌效应突出，基层党组织战斗堡垒作用和共产党员的先锋模范作用充分发挥，为凝聚各方力量、提升“大思政”育人合力提供了强大的组织体系保障，切实把党建优势转化为提升思想政治工作水平的巨大动力。近五年，本专业学位所在学科荣获教育部全国高校“两学一做”学生党支部精品工作案例、广东 省高校“两学一做”支部风采展示活动优秀支部生活创新案例二等奖、广东省高校基层党建工作创新案例二等奖；获批“广东省党建工作标杆院系”培育创建单位、广东省教育科学“十三五” 规划党建研究项目。院系党组织“守好责任田”，主动担负起政治责任和领导责任，强化教材选用和课堂管理、设立了学术讲座和学生社团活动“分级审批、分类报备”的管理责任制、狠抓网络空间治理，及时管控舆情，牢牢把握住意识形态阵地主导权。</w:t>
      </w:r>
    </w:p>
    <w:p w:rsidR="002F3CC4" w:rsidRDefault="00D16E02">
      <w:pPr>
        <w:autoSpaceDE w:val="0"/>
        <w:autoSpaceDN w:val="0"/>
        <w:adjustRightInd w:val="0"/>
        <w:spacing w:line="300" w:lineRule="auto"/>
        <w:ind w:firstLineChars="200" w:firstLine="640"/>
        <w:jc w:val="left"/>
        <w:rPr>
          <w:rFonts w:ascii="仿宋_GB2312" w:eastAsia="仿宋_GB2312" w:hAnsi="仿宋_GB2312" w:cs="仿宋_GB2312"/>
          <w:kern w:val="0"/>
          <w:szCs w:val="32"/>
        </w:rPr>
      </w:pPr>
      <w:r>
        <w:rPr>
          <w:rFonts w:ascii="仿宋_GB2312" w:eastAsia="仿宋_GB2312" w:hAnsi="仿宋_GB2312" w:cs="仿宋_GB2312" w:hint="eastAsia"/>
          <w:kern w:val="0"/>
          <w:szCs w:val="32"/>
        </w:rPr>
        <w:t>2. 育人有思路，专业特色思政体系建立。本专业学位“三全育人”综合改革的政治、思想、行动自觉意识显著提升，教师、校友和家长协调联动，同心同向发力的良好育人局面已形成入。思政育人品牌特色鲜明、亮点突出，多次被作为典型案例和先进做法进行推广。其中，学生通过 “千村调查项目”，走进田间地头，了解社会民生，获广东卫视专题报道。“优秀港澳台侨学生学业精进砥砺前行培养工程”辐射港澳台侨学生。荣获“全国五四红旗团支部”“广东省高校学生工作优秀团队”“广东省五四红旗团委”等。</w:t>
      </w:r>
    </w:p>
    <w:p w:rsidR="002F3CC4" w:rsidRDefault="00D16E02">
      <w:pPr>
        <w:autoSpaceDE w:val="0"/>
        <w:autoSpaceDN w:val="0"/>
        <w:adjustRightInd w:val="0"/>
        <w:spacing w:line="300" w:lineRule="auto"/>
        <w:ind w:firstLineChars="200" w:firstLine="640"/>
        <w:jc w:val="left"/>
        <w:rPr>
          <w:rFonts w:ascii="仿宋_GB2312" w:eastAsia="仿宋_GB2312" w:hAnsi="仿宋_GB2312" w:cs="仿宋_GB2312"/>
          <w:kern w:val="0"/>
          <w:szCs w:val="32"/>
        </w:rPr>
      </w:pPr>
      <w:r>
        <w:rPr>
          <w:rFonts w:ascii="仿宋_GB2312" w:eastAsia="仿宋_GB2312" w:hAnsi="仿宋_GB2312" w:cs="仿宋_GB2312" w:hint="eastAsia"/>
          <w:kern w:val="0"/>
          <w:szCs w:val="32"/>
        </w:rPr>
        <w:t>3. 育人有成效，学生素质全面发展提升。本专业培养的青年学生志存高远、至臻学业，德智体美劳全面发展，多人获省部级以上表彰奖励，社会实践和创新创业成果丰硕。在专业素养方面，学生在大学生创新创业项目、挑战杯等各大赛事中均有出色表现，并积极撰写学术论文与调研报告。在综合素质方面，学生在学校运动会各项比赛中奋勇争先，获得“九连冠”；感恩意识强，主动奉献社会，积极参加大学生志愿服务西部计划、投身疫情防控一线。近年来毕业生就业率达95%以上，为社会输送大批优秀金融学人才，成为国家繁荣稳定的重要建设者。</w:t>
      </w:r>
    </w:p>
    <w:p w:rsidR="002F3CC4" w:rsidRDefault="00D16E02">
      <w:pPr>
        <w:pStyle w:val="3"/>
        <w:spacing w:line="300" w:lineRule="auto"/>
        <w:rPr>
          <w:rStyle w:val="NormalCharacter"/>
          <w:rFonts w:ascii="黑体" w:eastAsia="黑体" w:hAnsi="黑体" w:cs="黑体"/>
          <w:color w:val="auto"/>
          <w:szCs w:val="32"/>
        </w:rPr>
      </w:pPr>
      <w:r>
        <w:rPr>
          <w:rStyle w:val="NormalCharacter"/>
          <w:rFonts w:ascii="黑体" w:eastAsia="黑体" w:hAnsi="黑体" w:cs="黑体" w:hint="eastAsia"/>
          <w:color w:val="auto"/>
          <w:szCs w:val="32"/>
        </w:rPr>
        <w:t>三、研究生培养相关制度及执行情况</w:t>
      </w:r>
    </w:p>
    <w:p w:rsidR="002F3CC4" w:rsidRDefault="00D16E02">
      <w:pPr>
        <w:spacing w:line="300" w:lineRule="auto"/>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课程建设与实施情况，导师选拔培训、</w:t>
      </w:r>
      <w:r>
        <w:rPr>
          <w:rStyle w:val="NormalCharacter"/>
          <w:rFonts w:ascii="仿宋_GB2312" w:eastAsia="仿宋_GB2312" w:hAnsi="仿宋_GB2312" w:cs="仿宋_GB2312" w:hint="eastAsia"/>
          <w:szCs w:val="32"/>
        </w:rPr>
        <w:t>师德师风建设</w:t>
      </w:r>
      <w:r>
        <w:rPr>
          <w:rFonts w:ascii="仿宋_GB2312" w:eastAsia="仿宋_GB2312" w:hAnsi="仿宋_GB2312" w:cs="仿宋_GB2312" w:hint="eastAsia"/>
          <w:szCs w:val="32"/>
        </w:rPr>
        <w:t>情况，学术训练情况，学术交流情况，研究生奖助情况。</w:t>
      </w:r>
    </w:p>
    <w:p w:rsidR="002F3CC4" w:rsidRDefault="00D16E02">
      <w:pPr>
        <w:autoSpaceDE w:val="0"/>
        <w:autoSpaceDN w:val="0"/>
        <w:adjustRightInd w:val="0"/>
        <w:spacing w:line="300" w:lineRule="auto"/>
        <w:ind w:firstLineChars="200" w:firstLine="643"/>
        <w:jc w:val="left"/>
        <w:rPr>
          <w:rFonts w:ascii="楷体" w:eastAsia="楷体" w:hAnsi="楷体" w:cs="楷体"/>
          <w:b/>
          <w:bCs/>
          <w:kern w:val="0"/>
          <w:szCs w:val="32"/>
        </w:rPr>
      </w:pPr>
      <w:r>
        <w:rPr>
          <w:rFonts w:ascii="楷体" w:eastAsia="楷体" w:hAnsi="楷体" w:cs="楷体" w:hint="eastAsia"/>
          <w:b/>
          <w:bCs/>
          <w:kern w:val="0"/>
          <w:szCs w:val="32"/>
        </w:rPr>
        <w:t>（一）培养大纲</w:t>
      </w:r>
    </w:p>
    <w:p w:rsidR="002F3CC4" w:rsidRDefault="00D16E02">
      <w:pPr>
        <w:autoSpaceDE w:val="0"/>
        <w:autoSpaceDN w:val="0"/>
        <w:adjustRightInd w:val="0"/>
        <w:spacing w:line="300" w:lineRule="auto"/>
        <w:ind w:firstLineChars="200" w:firstLine="640"/>
        <w:jc w:val="left"/>
        <w:rPr>
          <w:rFonts w:ascii="仿宋_GB2312" w:eastAsia="仿宋_GB2312" w:hAnsi="仿宋_GB2312" w:cs="仿宋_GB2312"/>
          <w:kern w:val="0"/>
          <w:szCs w:val="32"/>
        </w:rPr>
      </w:pPr>
      <w:r>
        <w:rPr>
          <w:rFonts w:ascii="仿宋_GB2312" w:eastAsia="仿宋_GB2312" w:hAnsi="仿宋_GB2312" w:cs="仿宋_GB2312" w:hint="eastAsia"/>
          <w:kern w:val="0"/>
          <w:szCs w:val="32"/>
        </w:rPr>
        <w:t>根据全国金融硕士专业学位教育指导委员会意见和要求，本专业于2011年制订了《暨南大学金融硕士专业学位研究生培养方案》。在实施过程中，就培养过程中出现的新问题和新特点，不断修改完善，以顺应金融专业学位教育发展规律，契合社会发展需求。现行培养方案于2019年修订完成。简要总结如下：</w:t>
      </w:r>
    </w:p>
    <w:p w:rsidR="002F3CC4" w:rsidRDefault="00D16E02">
      <w:pPr>
        <w:autoSpaceDE w:val="0"/>
        <w:autoSpaceDN w:val="0"/>
        <w:adjustRightInd w:val="0"/>
        <w:spacing w:line="300" w:lineRule="auto"/>
        <w:ind w:firstLineChars="200" w:firstLine="640"/>
        <w:jc w:val="left"/>
        <w:rPr>
          <w:rFonts w:ascii="仿宋_GB2312" w:eastAsia="仿宋_GB2312" w:hAnsi="仿宋_GB2312" w:cs="仿宋_GB2312"/>
          <w:kern w:val="0"/>
          <w:szCs w:val="32"/>
        </w:rPr>
      </w:pPr>
      <w:r>
        <w:rPr>
          <w:rFonts w:ascii="仿宋_GB2312" w:eastAsia="仿宋_GB2312" w:hAnsi="仿宋_GB2312" w:cs="仿宋_GB2312" w:hint="eastAsia"/>
          <w:kern w:val="0"/>
          <w:szCs w:val="32"/>
        </w:rPr>
        <w:t>1. 课程设置结合专业学位特点，以职业需求为导向，侧重应用性和实务性，总学分为38学分。其中，公共学位课4学分，专业学位课11学分，非学位课23学分。</w:t>
      </w:r>
    </w:p>
    <w:p w:rsidR="002F3CC4" w:rsidRDefault="00D16E02">
      <w:pPr>
        <w:autoSpaceDE w:val="0"/>
        <w:autoSpaceDN w:val="0"/>
        <w:adjustRightInd w:val="0"/>
        <w:spacing w:line="300" w:lineRule="auto"/>
        <w:ind w:firstLineChars="200" w:firstLine="640"/>
        <w:jc w:val="left"/>
        <w:rPr>
          <w:rFonts w:ascii="仿宋_GB2312" w:eastAsia="仿宋_GB2312" w:hAnsi="仿宋_GB2312" w:cs="仿宋_GB2312"/>
          <w:kern w:val="0"/>
          <w:szCs w:val="32"/>
        </w:rPr>
      </w:pPr>
      <w:r>
        <w:rPr>
          <w:rFonts w:ascii="仿宋_GB2312" w:eastAsia="仿宋_GB2312" w:hAnsi="仿宋_GB2312" w:cs="仿宋_GB2312" w:hint="eastAsia"/>
          <w:kern w:val="0"/>
          <w:szCs w:val="32"/>
        </w:rPr>
        <w:t>（1）专业学位课主要有《投资学》《金融衍生工具》《金融理论与政策》《公司金融》《财务报表分析》。</w:t>
      </w:r>
    </w:p>
    <w:p w:rsidR="002F3CC4" w:rsidRDefault="00D16E02">
      <w:pPr>
        <w:autoSpaceDE w:val="0"/>
        <w:autoSpaceDN w:val="0"/>
        <w:adjustRightInd w:val="0"/>
        <w:spacing w:line="300" w:lineRule="auto"/>
        <w:ind w:firstLineChars="200" w:firstLine="640"/>
        <w:jc w:val="left"/>
        <w:rPr>
          <w:rFonts w:ascii="仿宋_GB2312" w:eastAsia="仿宋_GB2312" w:hAnsi="仿宋_GB2312" w:cs="仿宋_GB2312"/>
          <w:kern w:val="0"/>
          <w:szCs w:val="32"/>
        </w:rPr>
      </w:pPr>
      <w:r>
        <w:rPr>
          <w:rFonts w:ascii="仿宋_GB2312" w:eastAsia="仿宋_GB2312" w:hAnsi="仿宋_GB2312" w:cs="仿宋_GB2312" w:hint="eastAsia"/>
          <w:kern w:val="0"/>
          <w:szCs w:val="32"/>
        </w:rPr>
        <w:t>（2）非学位课包括《金融科技》《量化投资理论与策略》《固定收益证券分析》《金融计量学》《金融法》等。</w:t>
      </w:r>
    </w:p>
    <w:p w:rsidR="002F3CC4" w:rsidRDefault="00D16E02">
      <w:pPr>
        <w:autoSpaceDE w:val="0"/>
        <w:autoSpaceDN w:val="0"/>
        <w:adjustRightInd w:val="0"/>
        <w:spacing w:line="300" w:lineRule="auto"/>
        <w:ind w:firstLineChars="200" w:firstLine="640"/>
        <w:jc w:val="left"/>
        <w:rPr>
          <w:rFonts w:ascii="仿宋_GB2312" w:eastAsia="仿宋_GB2312" w:hAnsi="仿宋_GB2312" w:cs="仿宋_GB2312"/>
          <w:kern w:val="0"/>
          <w:szCs w:val="32"/>
        </w:rPr>
      </w:pPr>
      <w:r>
        <w:rPr>
          <w:rFonts w:ascii="仿宋_GB2312" w:eastAsia="仿宋_GB2312" w:hAnsi="仿宋_GB2312" w:cs="仿宋_GB2312" w:hint="eastAsia"/>
          <w:kern w:val="0"/>
          <w:szCs w:val="32"/>
        </w:rPr>
        <w:t>（3）根据专业学位教育特点，开设《企业并购与重组案例》《金融危机管理案例》等案例教学课程。</w:t>
      </w:r>
    </w:p>
    <w:p w:rsidR="002F3CC4" w:rsidRDefault="00D16E02">
      <w:pPr>
        <w:autoSpaceDE w:val="0"/>
        <w:autoSpaceDN w:val="0"/>
        <w:adjustRightInd w:val="0"/>
        <w:spacing w:line="300" w:lineRule="auto"/>
        <w:ind w:firstLineChars="200" w:firstLine="640"/>
        <w:jc w:val="left"/>
        <w:rPr>
          <w:rFonts w:ascii="仿宋_GB2312" w:eastAsia="仿宋_GB2312" w:hAnsi="仿宋_GB2312" w:cs="仿宋_GB2312"/>
          <w:kern w:val="0"/>
          <w:szCs w:val="32"/>
        </w:rPr>
      </w:pPr>
      <w:r>
        <w:rPr>
          <w:rFonts w:ascii="仿宋_GB2312" w:eastAsia="仿宋_GB2312" w:hAnsi="仿宋_GB2312" w:cs="仿宋_GB2312" w:hint="eastAsia"/>
          <w:kern w:val="0"/>
          <w:szCs w:val="32"/>
        </w:rPr>
        <w:t>（4）开设《行业前沿讲座》《金融热点与前沿问题》等专题讲座，以了解行业发展的最新动态。</w:t>
      </w:r>
    </w:p>
    <w:p w:rsidR="002F3CC4" w:rsidRDefault="00D16E02">
      <w:pPr>
        <w:autoSpaceDE w:val="0"/>
        <w:autoSpaceDN w:val="0"/>
        <w:adjustRightInd w:val="0"/>
        <w:spacing w:line="300" w:lineRule="auto"/>
        <w:ind w:firstLineChars="200" w:firstLine="640"/>
        <w:jc w:val="left"/>
        <w:rPr>
          <w:rFonts w:ascii="仿宋_GB2312" w:eastAsia="仿宋_GB2312" w:hAnsi="仿宋_GB2312" w:cs="仿宋_GB2312"/>
          <w:kern w:val="0"/>
          <w:szCs w:val="32"/>
        </w:rPr>
      </w:pPr>
      <w:r>
        <w:rPr>
          <w:rFonts w:ascii="仿宋_GB2312" w:eastAsia="仿宋_GB2312" w:hAnsi="仿宋_GB2312" w:cs="仿宋_GB2312" w:hint="eastAsia"/>
          <w:kern w:val="0"/>
          <w:szCs w:val="32"/>
        </w:rPr>
        <w:t>2. 采取“双导师制”，由一名学术水平较高的校内导师和一名行业经验丰富的校外实践导师共同指导。其中，实践教学为全日制研究生必修课（4学分），以满足金融专业硕士对实践能力的培养要求。</w:t>
      </w:r>
    </w:p>
    <w:p w:rsidR="002F3CC4" w:rsidRDefault="00D16E02">
      <w:pPr>
        <w:autoSpaceDE w:val="0"/>
        <w:autoSpaceDN w:val="0"/>
        <w:adjustRightInd w:val="0"/>
        <w:spacing w:line="300" w:lineRule="auto"/>
        <w:ind w:firstLineChars="200" w:firstLine="640"/>
        <w:jc w:val="left"/>
        <w:rPr>
          <w:rFonts w:ascii="仿宋_GB2312" w:eastAsia="仿宋_GB2312" w:hAnsi="仿宋_GB2312" w:cs="仿宋_GB2312"/>
          <w:kern w:val="0"/>
          <w:szCs w:val="32"/>
        </w:rPr>
      </w:pPr>
      <w:r>
        <w:rPr>
          <w:rFonts w:ascii="仿宋_GB2312" w:eastAsia="仿宋_GB2312" w:hAnsi="仿宋_GB2312" w:cs="仿宋_GB2312" w:hint="eastAsia"/>
          <w:kern w:val="0"/>
          <w:szCs w:val="32"/>
        </w:rPr>
        <w:t>3. 在学期间必须参加学科、行业前沿讲座15次（场）以上。</w:t>
      </w:r>
    </w:p>
    <w:p w:rsidR="002F3CC4" w:rsidRDefault="00D16E02">
      <w:pPr>
        <w:autoSpaceDE w:val="0"/>
        <w:autoSpaceDN w:val="0"/>
        <w:adjustRightInd w:val="0"/>
        <w:spacing w:line="300" w:lineRule="auto"/>
        <w:ind w:firstLineChars="200" w:firstLine="643"/>
        <w:jc w:val="left"/>
        <w:rPr>
          <w:rFonts w:ascii="楷体_GB2312" w:eastAsia="楷体_GB2312" w:hAnsi="楷体_GB2312" w:cs="楷体_GB2312"/>
          <w:b/>
          <w:bCs/>
          <w:kern w:val="0"/>
          <w:szCs w:val="32"/>
        </w:rPr>
      </w:pPr>
      <w:r>
        <w:rPr>
          <w:rFonts w:ascii="楷体_GB2312" w:eastAsia="楷体_GB2312" w:hAnsi="楷体_GB2312" w:cs="楷体_GB2312" w:hint="eastAsia"/>
          <w:b/>
          <w:bCs/>
          <w:kern w:val="0"/>
          <w:szCs w:val="32"/>
        </w:rPr>
        <w:t>（二）课程体系建设</w:t>
      </w:r>
    </w:p>
    <w:p w:rsidR="002F3CC4" w:rsidRDefault="00D16E02">
      <w:pPr>
        <w:autoSpaceDE w:val="0"/>
        <w:autoSpaceDN w:val="0"/>
        <w:adjustRightInd w:val="0"/>
        <w:spacing w:line="300" w:lineRule="auto"/>
        <w:ind w:firstLineChars="200" w:firstLine="640"/>
        <w:jc w:val="left"/>
        <w:rPr>
          <w:rFonts w:ascii="仿宋_GB2312" w:eastAsia="仿宋_GB2312" w:hAnsi="仿宋_GB2312" w:cs="仿宋_GB2312"/>
          <w:kern w:val="0"/>
          <w:szCs w:val="32"/>
        </w:rPr>
      </w:pPr>
      <w:r>
        <w:rPr>
          <w:rFonts w:ascii="仿宋_GB2312" w:eastAsia="仿宋_GB2312" w:hAnsi="仿宋_GB2312" w:cs="仿宋_GB2312" w:hint="eastAsia"/>
          <w:kern w:val="0"/>
          <w:szCs w:val="32"/>
        </w:rPr>
        <w:t>本专业课程设置对标当前国际一流金融应用型人才培养标准，以职业需求为目标，着重强调金融知识的掌握和技能的训练、以素质的全面提升为核心，注重理论与实践相结合。</w:t>
      </w:r>
    </w:p>
    <w:p w:rsidR="002F3CC4" w:rsidRDefault="00D16E02">
      <w:pPr>
        <w:autoSpaceDE w:val="0"/>
        <w:autoSpaceDN w:val="0"/>
        <w:adjustRightInd w:val="0"/>
        <w:spacing w:line="300" w:lineRule="auto"/>
        <w:ind w:firstLineChars="200" w:firstLine="640"/>
        <w:jc w:val="left"/>
        <w:rPr>
          <w:rFonts w:ascii="仿宋_GB2312" w:eastAsia="仿宋_GB2312" w:hAnsi="仿宋_GB2312" w:cs="仿宋_GB2312"/>
          <w:kern w:val="0"/>
          <w:szCs w:val="32"/>
        </w:rPr>
      </w:pPr>
      <w:r>
        <w:rPr>
          <w:rFonts w:ascii="仿宋_GB2312" w:eastAsia="仿宋_GB2312" w:hAnsi="仿宋_GB2312" w:cs="仿宋_GB2312" w:hint="eastAsia"/>
          <w:kern w:val="0"/>
          <w:szCs w:val="32"/>
        </w:rPr>
        <w:t>1. 专业学位课程体系设置的实践性及前沿性。从行业发展需求出发，在专业学位选修课程中开设金融科技、量化投资、房地产金融等前沿专业课；同时增加专业技术课程的比重，在课程安排、教学实践等方面体现“专业性”与“实践性”的结合。</w:t>
      </w:r>
    </w:p>
    <w:p w:rsidR="002F3CC4" w:rsidRDefault="00D16E02">
      <w:pPr>
        <w:autoSpaceDE w:val="0"/>
        <w:autoSpaceDN w:val="0"/>
        <w:adjustRightInd w:val="0"/>
        <w:spacing w:line="300" w:lineRule="auto"/>
        <w:ind w:firstLineChars="200" w:firstLine="640"/>
        <w:jc w:val="left"/>
        <w:rPr>
          <w:rFonts w:ascii="仿宋_GB2312" w:eastAsia="仿宋_GB2312" w:hAnsi="仿宋_GB2312" w:cs="仿宋_GB2312"/>
          <w:kern w:val="0"/>
          <w:szCs w:val="32"/>
        </w:rPr>
      </w:pPr>
      <w:r>
        <w:rPr>
          <w:rFonts w:ascii="仿宋_GB2312" w:eastAsia="仿宋_GB2312" w:hAnsi="仿宋_GB2312" w:cs="仿宋_GB2312" w:hint="eastAsia"/>
          <w:kern w:val="0"/>
          <w:szCs w:val="32"/>
        </w:rPr>
        <w:t>2. 探索课程教学形式的多样化。加强对案例分析、实务模拟、专题研讨等多种形式的教学方式的探索与实践。在课堂教学中，突出学生的参与和老师与学生之间的相互交流与沟通，共享师生已有的实践和经验，重点在于相关理论和实践的结合。案例分析结合课程教学进行，有利于理论与实践的结合，培养学生的团队精神和合作意识。前沿讲座提升学生的知识面，培养学生的开拓精神和研究视野。定期邀请具有丰富管理经验的金融界高管来校讲座等，解读最新政策及热点问题、直面前沿实务、分享最新政策报告等。</w:t>
      </w:r>
    </w:p>
    <w:p w:rsidR="002F3CC4" w:rsidRDefault="00D16E02">
      <w:pPr>
        <w:autoSpaceDE w:val="0"/>
        <w:autoSpaceDN w:val="0"/>
        <w:adjustRightInd w:val="0"/>
        <w:spacing w:line="300" w:lineRule="auto"/>
        <w:ind w:firstLineChars="200" w:firstLine="640"/>
        <w:jc w:val="left"/>
        <w:rPr>
          <w:rFonts w:ascii="仿宋_GB2312" w:eastAsia="仿宋_GB2312" w:hAnsi="仿宋_GB2312" w:cs="仿宋_GB2312"/>
          <w:kern w:val="0"/>
          <w:szCs w:val="32"/>
        </w:rPr>
      </w:pPr>
      <w:r>
        <w:rPr>
          <w:rFonts w:ascii="仿宋_GB2312" w:eastAsia="仿宋_GB2312" w:hAnsi="仿宋_GB2312" w:cs="仿宋_GB2312" w:hint="eastAsia"/>
          <w:kern w:val="0"/>
          <w:szCs w:val="32"/>
        </w:rPr>
        <w:t>3. 积极开展与金融机构合作的人才培养模式。开设一些实操性较强的金融课程，如与上交所联合推出《期权交易理论与实务》、开设《行业前沿讲座》等，提高学生实务操作能力，取得显著成效。</w:t>
      </w:r>
    </w:p>
    <w:p w:rsidR="002F3CC4" w:rsidRDefault="00D16E02">
      <w:pPr>
        <w:autoSpaceDE w:val="0"/>
        <w:autoSpaceDN w:val="0"/>
        <w:adjustRightInd w:val="0"/>
        <w:spacing w:line="300" w:lineRule="auto"/>
        <w:ind w:firstLineChars="200" w:firstLine="643"/>
        <w:jc w:val="left"/>
        <w:rPr>
          <w:rFonts w:ascii="楷体_GB2312" w:eastAsia="楷体_GB2312" w:hAnsi="楷体_GB2312" w:cs="楷体_GB2312"/>
          <w:b/>
          <w:bCs/>
          <w:kern w:val="0"/>
          <w:szCs w:val="32"/>
        </w:rPr>
      </w:pPr>
      <w:r>
        <w:rPr>
          <w:rFonts w:ascii="楷体_GB2312" w:eastAsia="楷体_GB2312" w:hAnsi="楷体_GB2312" w:cs="楷体_GB2312" w:hint="eastAsia"/>
          <w:b/>
          <w:bCs/>
          <w:kern w:val="0"/>
          <w:szCs w:val="32"/>
        </w:rPr>
        <w:t>（三）案例教学使用与开发</w:t>
      </w:r>
    </w:p>
    <w:p w:rsidR="002F3CC4" w:rsidRDefault="00D16E02">
      <w:pPr>
        <w:autoSpaceDE w:val="0"/>
        <w:autoSpaceDN w:val="0"/>
        <w:adjustRightInd w:val="0"/>
        <w:spacing w:line="300" w:lineRule="auto"/>
        <w:ind w:firstLineChars="200" w:firstLine="640"/>
        <w:jc w:val="left"/>
        <w:rPr>
          <w:rFonts w:ascii="仿宋_GB2312" w:eastAsia="仿宋_GB2312" w:hAnsi="仿宋_GB2312" w:cs="仿宋_GB2312"/>
          <w:kern w:val="0"/>
          <w:szCs w:val="32"/>
        </w:rPr>
      </w:pPr>
      <w:r>
        <w:rPr>
          <w:rFonts w:ascii="仿宋_GB2312" w:eastAsia="仿宋_GB2312" w:hAnsi="仿宋_GB2312" w:cs="仿宋_GB2312" w:hint="eastAsia"/>
          <w:kern w:val="0"/>
          <w:szCs w:val="32"/>
        </w:rPr>
        <w:t>本专业学位根据所构建的课程体系与教学模式，持续关注和补充与经济金融紧密联系的发展前沿和实践热点问题，增加案例编写，积极参加全国金融硕士教学案例大赛，连续4年获得大赛优秀案例奖（7篇</w:t>
      </w:r>
      <w:r w:rsidRPr="00D16E02">
        <w:rPr>
          <w:rFonts w:ascii="仿宋_GB2312" w:eastAsia="仿宋_GB2312" w:hAnsi="仿宋_GB2312" w:cs="仿宋_GB2312" w:hint="eastAsia"/>
          <w:color w:val="000000" w:themeColor="text1"/>
          <w:kern w:val="0"/>
          <w:szCs w:val="32"/>
        </w:rPr>
        <w:t>），其中2020年有3篇获奖。所编写</w:t>
      </w:r>
      <w:r>
        <w:rPr>
          <w:rFonts w:ascii="仿宋_GB2312" w:eastAsia="仿宋_GB2312" w:hAnsi="仿宋_GB2312" w:cs="仿宋_GB2312" w:hint="eastAsia"/>
          <w:kern w:val="0"/>
          <w:szCs w:val="32"/>
        </w:rPr>
        <w:t>案例均纳入教学内容体系，实现案例教学在所有课程中全覆盖。当前，各门课程共使用约60个案例进行课程教学，课时数占总课时数的25%以上。具体做法如下：</w:t>
      </w:r>
    </w:p>
    <w:p w:rsidR="002F3CC4" w:rsidRDefault="00D16E02">
      <w:pPr>
        <w:autoSpaceDE w:val="0"/>
        <w:autoSpaceDN w:val="0"/>
        <w:adjustRightInd w:val="0"/>
        <w:spacing w:line="300" w:lineRule="auto"/>
        <w:ind w:firstLineChars="200" w:firstLine="640"/>
        <w:jc w:val="left"/>
        <w:rPr>
          <w:rFonts w:ascii="仿宋_GB2312" w:eastAsia="仿宋_GB2312" w:hAnsi="仿宋_GB2312" w:cs="仿宋_GB2312"/>
          <w:kern w:val="0"/>
          <w:szCs w:val="32"/>
        </w:rPr>
      </w:pPr>
      <w:r>
        <w:rPr>
          <w:rFonts w:ascii="仿宋_GB2312" w:eastAsia="仿宋_GB2312" w:hAnsi="仿宋_GB2312" w:cs="仿宋_GB2312" w:hint="eastAsia"/>
          <w:kern w:val="0"/>
          <w:szCs w:val="32"/>
        </w:rPr>
        <w:t>1. 在案例教学上投入大量的资源。聘请金融领域有实践经验的专家共同编写专业技术课程的教学大纲、共同开发金融实践教学案例，建设金融专业学位教育专用金融实验室和多媒体教学设施等。</w:t>
      </w:r>
    </w:p>
    <w:p w:rsidR="002F3CC4" w:rsidRDefault="00D16E02">
      <w:pPr>
        <w:autoSpaceDE w:val="0"/>
        <w:autoSpaceDN w:val="0"/>
        <w:adjustRightInd w:val="0"/>
        <w:spacing w:line="300" w:lineRule="auto"/>
        <w:ind w:firstLineChars="200" w:firstLine="640"/>
        <w:jc w:val="left"/>
        <w:rPr>
          <w:rFonts w:ascii="仿宋_GB2312" w:eastAsia="仿宋_GB2312" w:hAnsi="仿宋_GB2312" w:cs="仿宋_GB2312"/>
          <w:kern w:val="0"/>
          <w:szCs w:val="32"/>
        </w:rPr>
      </w:pPr>
      <w:r>
        <w:rPr>
          <w:rFonts w:ascii="仿宋_GB2312" w:eastAsia="仿宋_GB2312" w:hAnsi="仿宋_GB2312" w:cs="仿宋_GB2312" w:hint="eastAsia"/>
          <w:kern w:val="0"/>
          <w:szCs w:val="32"/>
        </w:rPr>
        <w:t>2. 构建了符合培养需要的教学模式。由授课老师结合案例提出课程任务，学生组成学习小组查找文献，以报告形式在课堂展示和讨论，任课教师进行点评并讲授其中蕴含的理论知识，激发学生自发学习的兴趣和提高团队协作的能力。</w:t>
      </w:r>
    </w:p>
    <w:p w:rsidR="002F3CC4" w:rsidRDefault="00D16E02">
      <w:pPr>
        <w:autoSpaceDE w:val="0"/>
        <w:autoSpaceDN w:val="0"/>
        <w:adjustRightInd w:val="0"/>
        <w:spacing w:line="300" w:lineRule="auto"/>
        <w:ind w:firstLineChars="200" w:firstLine="640"/>
        <w:jc w:val="left"/>
        <w:rPr>
          <w:rFonts w:ascii="仿宋_GB2312" w:eastAsia="仿宋_GB2312" w:hAnsi="仿宋_GB2312" w:cs="仿宋_GB2312"/>
          <w:kern w:val="0"/>
          <w:szCs w:val="32"/>
        </w:rPr>
      </w:pPr>
      <w:r>
        <w:rPr>
          <w:rFonts w:ascii="仿宋_GB2312" w:eastAsia="仿宋_GB2312" w:hAnsi="仿宋_GB2312" w:cs="仿宋_GB2312" w:hint="eastAsia"/>
          <w:kern w:val="0"/>
          <w:szCs w:val="32"/>
        </w:rPr>
        <w:t>3. 加大对案例编写的激励与支持。深化奖教奖学制度改革，着重加大对案例开发建设中成效突出的教师与学生的表彰，实现了评优及入库案例数量与比重逐年增长。</w:t>
      </w:r>
    </w:p>
    <w:p w:rsidR="002F3CC4" w:rsidRDefault="00D16E02">
      <w:pPr>
        <w:autoSpaceDE w:val="0"/>
        <w:autoSpaceDN w:val="0"/>
        <w:adjustRightInd w:val="0"/>
        <w:spacing w:line="300" w:lineRule="auto"/>
        <w:ind w:firstLineChars="200" w:firstLine="640"/>
        <w:jc w:val="left"/>
        <w:rPr>
          <w:rFonts w:ascii="仿宋_GB2312" w:eastAsia="仿宋_GB2312" w:hAnsi="仿宋_GB2312" w:cs="仿宋_GB2312"/>
          <w:kern w:val="0"/>
          <w:szCs w:val="32"/>
        </w:rPr>
      </w:pPr>
      <w:r>
        <w:rPr>
          <w:rFonts w:ascii="仿宋_GB2312" w:eastAsia="仿宋_GB2312" w:hAnsi="仿宋_GB2312" w:cs="仿宋_GB2312" w:hint="eastAsia"/>
          <w:kern w:val="0"/>
          <w:szCs w:val="32"/>
        </w:rPr>
        <w:t>4. 定期邀请国内外著名学者及校外导师做行业专题报告，以提高学生对金融前沿知识的把握能力和对金融行业发展现状的认知。</w:t>
      </w:r>
    </w:p>
    <w:p w:rsidR="002F3CC4" w:rsidRDefault="00D16E02">
      <w:pPr>
        <w:autoSpaceDE w:val="0"/>
        <w:autoSpaceDN w:val="0"/>
        <w:adjustRightInd w:val="0"/>
        <w:spacing w:line="300" w:lineRule="auto"/>
        <w:ind w:firstLineChars="200" w:firstLine="643"/>
        <w:jc w:val="left"/>
        <w:rPr>
          <w:rFonts w:ascii="楷体_GB2312" w:eastAsia="楷体_GB2312" w:hAnsi="楷体_GB2312" w:cs="楷体_GB2312"/>
          <w:b/>
          <w:bCs/>
          <w:kern w:val="0"/>
          <w:szCs w:val="32"/>
        </w:rPr>
      </w:pPr>
      <w:r>
        <w:rPr>
          <w:rFonts w:ascii="楷体_GB2312" w:eastAsia="楷体_GB2312" w:hAnsi="楷体_GB2312" w:cs="楷体_GB2312" w:hint="eastAsia"/>
          <w:b/>
          <w:bCs/>
          <w:kern w:val="0"/>
          <w:szCs w:val="32"/>
        </w:rPr>
        <w:t>（四）专业实践</w:t>
      </w:r>
    </w:p>
    <w:p w:rsidR="002F3CC4" w:rsidRDefault="00D16E02">
      <w:pPr>
        <w:autoSpaceDE w:val="0"/>
        <w:autoSpaceDN w:val="0"/>
        <w:adjustRightInd w:val="0"/>
        <w:spacing w:line="300" w:lineRule="auto"/>
        <w:ind w:firstLineChars="200" w:firstLine="640"/>
        <w:jc w:val="left"/>
        <w:rPr>
          <w:rFonts w:ascii="仿宋_GB2312" w:eastAsia="仿宋_GB2312" w:hAnsi="仿宋_GB2312" w:cs="仿宋_GB2312"/>
          <w:kern w:val="0"/>
          <w:szCs w:val="32"/>
        </w:rPr>
      </w:pPr>
      <w:r>
        <w:rPr>
          <w:rFonts w:ascii="仿宋_GB2312" w:eastAsia="仿宋_GB2312" w:hAnsi="仿宋_GB2312" w:cs="仿宋_GB2312" w:hint="eastAsia"/>
          <w:kern w:val="0"/>
          <w:szCs w:val="32"/>
        </w:rPr>
        <w:t>本专业与金融部门密切合作，积极开展产学研合作，与多家机构建立校外实践基地，实现校外导师与实习项目对接。</w:t>
      </w:r>
    </w:p>
    <w:p w:rsidR="002F3CC4" w:rsidRDefault="00D16E02">
      <w:pPr>
        <w:autoSpaceDE w:val="0"/>
        <w:autoSpaceDN w:val="0"/>
        <w:adjustRightInd w:val="0"/>
        <w:spacing w:line="300" w:lineRule="auto"/>
        <w:ind w:firstLineChars="200" w:firstLine="640"/>
        <w:jc w:val="left"/>
        <w:rPr>
          <w:rFonts w:ascii="仿宋_GB2312" w:eastAsia="仿宋_GB2312" w:hAnsi="仿宋_GB2312" w:cs="仿宋_GB2312"/>
          <w:kern w:val="0"/>
          <w:szCs w:val="32"/>
        </w:rPr>
      </w:pPr>
      <w:r>
        <w:rPr>
          <w:rFonts w:ascii="仿宋_GB2312" w:eastAsia="仿宋_GB2312" w:hAnsi="仿宋_GB2312" w:cs="仿宋_GB2312" w:hint="eastAsia"/>
          <w:kern w:val="0"/>
          <w:szCs w:val="32"/>
        </w:rPr>
        <w:t>1. 每位金融专业硕士均参加课外实践与实习，专业实践主要依托实践教学基地进行，同时鼓励其他多种形式的专业实践。现已建成专业实践教学基地9个，近年来已有几百名金融专业硕士到实践基地依托单位进行实习工作，显著提升了学生的行业实践能力。专业实践结合大湾区金融发展需求，充分利用香港、澳门的区位优势和资源，为金融专业硕士的创新创业能力培养提供实践空间。</w:t>
      </w:r>
    </w:p>
    <w:p w:rsidR="002F3CC4" w:rsidRDefault="00D16E02">
      <w:pPr>
        <w:autoSpaceDE w:val="0"/>
        <w:autoSpaceDN w:val="0"/>
        <w:adjustRightInd w:val="0"/>
        <w:spacing w:line="300" w:lineRule="auto"/>
        <w:ind w:firstLineChars="200" w:firstLine="640"/>
        <w:jc w:val="left"/>
        <w:rPr>
          <w:rFonts w:ascii="仿宋_GB2312" w:eastAsia="仿宋_GB2312" w:hAnsi="仿宋_GB2312" w:cs="仿宋_GB2312"/>
          <w:kern w:val="0"/>
          <w:szCs w:val="32"/>
        </w:rPr>
      </w:pPr>
      <w:r>
        <w:rPr>
          <w:rFonts w:ascii="仿宋_GB2312" w:eastAsia="仿宋_GB2312" w:hAnsi="仿宋_GB2312" w:cs="仿宋_GB2312" w:hint="eastAsia"/>
          <w:kern w:val="0"/>
          <w:szCs w:val="32"/>
        </w:rPr>
        <w:t>2. 实践基地对管理人员实施目标责任制，强化实践导师的遴选和更新；对学生实施目标管理，以学生实习报告完成的质量及解决实际问题能力的提升为目标，全程考核管理。</w:t>
      </w:r>
    </w:p>
    <w:p w:rsidR="002F3CC4" w:rsidRDefault="00D16E02">
      <w:pPr>
        <w:autoSpaceDE w:val="0"/>
        <w:autoSpaceDN w:val="0"/>
        <w:adjustRightInd w:val="0"/>
        <w:spacing w:line="300" w:lineRule="auto"/>
        <w:ind w:firstLineChars="200" w:firstLine="640"/>
        <w:jc w:val="left"/>
        <w:rPr>
          <w:rFonts w:ascii="仿宋_GB2312" w:eastAsia="仿宋_GB2312" w:hAnsi="仿宋_GB2312" w:cs="仿宋_GB2312"/>
          <w:kern w:val="0"/>
          <w:szCs w:val="32"/>
        </w:rPr>
      </w:pPr>
      <w:r>
        <w:rPr>
          <w:rFonts w:ascii="仿宋_GB2312" w:eastAsia="仿宋_GB2312" w:hAnsi="仿宋_GB2312" w:cs="仿宋_GB2312" w:hint="eastAsia"/>
          <w:kern w:val="0"/>
          <w:szCs w:val="32"/>
        </w:rPr>
        <w:t>3. 每个实践基地都配备高水平的课外实践导师，具体负责学生的实践内容设计、实践过程指导和实习报告的撰写，并做出科学评价和书面鉴定。</w:t>
      </w:r>
    </w:p>
    <w:p w:rsidR="002F3CC4" w:rsidRDefault="00D16E02">
      <w:pPr>
        <w:autoSpaceDE w:val="0"/>
        <w:autoSpaceDN w:val="0"/>
        <w:adjustRightInd w:val="0"/>
        <w:spacing w:line="300" w:lineRule="auto"/>
        <w:ind w:firstLineChars="200" w:firstLine="640"/>
        <w:jc w:val="left"/>
        <w:rPr>
          <w:rFonts w:ascii="仿宋_GB2312" w:eastAsia="仿宋_GB2312" w:hAnsi="仿宋_GB2312" w:cs="仿宋_GB2312"/>
          <w:kern w:val="0"/>
          <w:szCs w:val="32"/>
        </w:rPr>
      </w:pPr>
      <w:r>
        <w:rPr>
          <w:rFonts w:ascii="仿宋_GB2312" w:eastAsia="仿宋_GB2312" w:hAnsi="仿宋_GB2312" w:cs="仿宋_GB2312" w:hint="eastAsia"/>
          <w:kern w:val="0"/>
          <w:szCs w:val="32"/>
        </w:rPr>
        <w:t>4. 实践基地涵盖金融各业态，学生可以通过参与依托单位的实习工作、合作项目以及定期实践教学讲座、培训等方式进行实践，充分满足学生对实践教学的多方面需求。</w:t>
      </w:r>
    </w:p>
    <w:p w:rsidR="002F3CC4" w:rsidRDefault="00D16E02">
      <w:pPr>
        <w:spacing w:line="300" w:lineRule="auto"/>
        <w:ind w:firstLineChars="200" w:firstLine="640"/>
        <w:rPr>
          <w:rFonts w:ascii="仿宋_GB2312" w:eastAsia="仿宋_GB2312" w:hAnsi="仿宋_GB2312" w:cs="仿宋_GB2312"/>
          <w:szCs w:val="32"/>
        </w:rPr>
      </w:pPr>
      <w:r>
        <w:rPr>
          <w:rFonts w:ascii="仿宋_GB2312" w:eastAsia="仿宋_GB2312" w:hAnsi="仿宋_GB2312" w:cs="仿宋_GB2312" w:hint="eastAsia"/>
          <w:kern w:val="0"/>
          <w:szCs w:val="32"/>
        </w:rPr>
        <w:t>5. 学生需按照培养的实践教学要求及行业规范要求参与实习，撰写规范实习报告，并作为专业硕士实践考核部分的重要依据。</w:t>
      </w:r>
    </w:p>
    <w:p w:rsidR="002F3CC4" w:rsidRDefault="00D16E02">
      <w:pPr>
        <w:autoSpaceDE w:val="0"/>
        <w:autoSpaceDN w:val="0"/>
        <w:adjustRightInd w:val="0"/>
        <w:spacing w:line="300" w:lineRule="auto"/>
        <w:ind w:firstLineChars="200" w:firstLine="643"/>
        <w:jc w:val="left"/>
        <w:rPr>
          <w:rFonts w:ascii="Times New Roman" w:eastAsia="宋体" w:hAnsi="Times New Roman" w:cs="Times New Roman"/>
          <w:b/>
          <w:bCs/>
          <w:kern w:val="0"/>
          <w:sz w:val="21"/>
          <w:szCs w:val="21"/>
        </w:rPr>
      </w:pPr>
      <w:r>
        <w:rPr>
          <w:rFonts w:ascii="楷体_GB2312" w:eastAsia="楷体_GB2312" w:hAnsi="楷体_GB2312" w:cs="楷体_GB2312" w:hint="eastAsia"/>
          <w:b/>
          <w:bCs/>
          <w:kern w:val="0"/>
          <w:szCs w:val="32"/>
        </w:rPr>
        <w:t>（五）导师队伍建设</w:t>
      </w:r>
    </w:p>
    <w:p w:rsidR="002F3CC4" w:rsidRDefault="00D16E02">
      <w:pPr>
        <w:spacing w:line="300" w:lineRule="auto"/>
        <w:ind w:firstLineChars="200" w:firstLine="640"/>
        <w:rPr>
          <w:rFonts w:ascii="仿宋_GB2312" w:eastAsia="仿宋_GB2312" w:hAnsi="仿宋_GB2312" w:cs="仿宋_GB2312"/>
          <w:kern w:val="0"/>
          <w:szCs w:val="32"/>
        </w:rPr>
      </w:pPr>
      <w:r>
        <w:rPr>
          <w:rFonts w:ascii="仿宋_GB2312" w:eastAsia="仿宋_GB2312" w:hAnsi="仿宋_GB2312" w:cs="仿宋_GB2312" w:hint="eastAsia"/>
          <w:kern w:val="0"/>
          <w:szCs w:val="32"/>
        </w:rPr>
        <w:t>本专业导师队伍建设特色如下：</w:t>
      </w:r>
    </w:p>
    <w:p w:rsidR="002F3CC4" w:rsidRDefault="00D16E02">
      <w:pPr>
        <w:spacing w:line="300" w:lineRule="auto"/>
        <w:ind w:firstLineChars="200" w:firstLine="640"/>
        <w:rPr>
          <w:rFonts w:ascii="仿宋_GB2312" w:eastAsia="仿宋_GB2312" w:hAnsi="仿宋_GB2312" w:cs="仿宋_GB2312"/>
          <w:kern w:val="0"/>
          <w:szCs w:val="32"/>
        </w:rPr>
      </w:pPr>
      <w:r>
        <w:rPr>
          <w:rFonts w:ascii="仿宋_GB2312" w:eastAsia="仿宋_GB2312" w:hAnsi="仿宋_GB2312" w:cs="仿宋_GB2312" w:hint="eastAsia"/>
          <w:kern w:val="0"/>
          <w:szCs w:val="32"/>
        </w:rPr>
        <w:t>1. 实施研究生培养双导师制，形成校内外导师的合力，组成一支既有较高学术含量，又有显著职业背景、丰富实践经验和较强解决问题能力的导师队伍。</w:t>
      </w:r>
    </w:p>
    <w:p w:rsidR="002F3CC4" w:rsidRDefault="00D16E02">
      <w:pPr>
        <w:spacing w:line="300" w:lineRule="auto"/>
        <w:ind w:firstLineChars="200" w:firstLine="640"/>
        <w:rPr>
          <w:rFonts w:ascii="仿宋_GB2312" w:eastAsia="仿宋_GB2312" w:hAnsi="仿宋_GB2312" w:cs="仿宋_GB2312"/>
          <w:kern w:val="0"/>
          <w:szCs w:val="32"/>
        </w:rPr>
      </w:pPr>
      <w:r>
        <w:rPr>
          <w:rFonts w:ascii="仿宋_GB2312" w:eastAsia="仿宋_GB2312" w:hAnsi="仿宋_GB2312" w:cs="仿宋_GB2312" w:hint="eastAsia"/>
          <w:kern w:val="0"/>
          <w:szCs w:val="32"/>
        </w:rPr>
        <w:t>2. 导师队伍学源结构多样，均具有海外教育背景。本专业对校内导师和校外实践导师均制订严格的评定标准，对于专硕导师的遴选更加注重导师的业界经验和实践能力。同时，不断加强导师队伍的培训和优化。</w:t>
      </w:r>
    </w:p>
    <w:p w:rsidR="002F3CC4" w:rsidRDefault="00D16E02">
      <w:pPr>
        <w:spacing w:line="300" w:lineRule="auto"/>
        <w:ind w:firstLineChars="200" w:firstLine="640"/>
        <w:rPr>
          <w:rFonts w:ascii="仿宋_GB2312" w:eastAsia="仿宋_GB2312" w:hAnsi="仿宋_GB2312" w:cs="仿宋_GB2312"/>
          <w:kern w:val="0"/>
          <w:szCs w:val="32"/>
        </w:rPr>
      </w:pPr>
      <w:r>
        <w:rPr>
          <w:rFonts w:ascii="仿宋_GB2312" w:eastAsia="仿宋_GB2312" w:hAnsi="仿宋_GB2312" w:cs="仿宋_GB2312" w:hint="eastAsia"/>
          <w:kern w:val="0"/>
          <w:szCs w:val="32"/>
        </w:rPr>
        <w:t>3. 完善双向互选互动机制。把研究生和导师互选作为改进研究生培养的重要环节，明确互选原则、标准、程序、要求，充分尊重导师和学生的双向选择权。</w:t>
      </w:r>
    </w:p>
    <w:p w:rsidR="002F3CC4" w:rsidRDefault="00D16E02">
      <w:pPr>
        <w:spacing w:line="300" w:lineRule="auto"/>
        <w:ind w:firstLineChars="200" w:firstLine="640"/>
        <w:rPr>
          <w:rFonts w:ascii="仿宋_GB2312" w:eastAsia="仿宋_GB2312" w:hAnsi="仿宋_GB2312" w:cs="仿宋_GB2312"/>
          <w:kern w:val="0"/>
          <w:szCs w:val="32"/>
        </w:rPr>
      </w:pPr>
      <w:r>
        <w:rPr>
          <w:rFonts w:ascii="仿宋_GB2312" w:eastAsia="仿宋_GB2312" w:hAnsi="仿宋_GB2312" w:cs="仿宋_GB2312" w:hint="eastAsia"/>
          <w:kern w:val="0"/>
          <w:szCs w:val="32"/>
        </w:rPr>
        <w:t>4. 全面落实育人职责。导师是研究生培养的第一责任人，负有对研究生进行学科前沿引导、科研方法指导和学术规范教导的责任。</w:t>
      </w:r>
    </w:p>
    <w:p w:rsidR="002F3CC4" w:rsidRDefault="00D16E02">
      <w:pPr>
        <w:autoSpaceDE w:val="0"/>
        <w:autoSpaceDN w:val="0"/>
        <w:adjustRightInd w:val="0"/>
        <w:spacing w:line="300" w:lineRule="auto"/>
        <w:ind w:firstLineChars="200" w:firstLine="643"/>
        <w:jc w:val="left"/>
        <w:rPr>
          <w:rFonts w:ascii="楷体_GB2312" w:eastAsia="楷体_GB2312" w:hAnsi="楷体_GB2312" w:cs="楷体_GB2312"/>
          <w:b/>
          <w:bCs/>
          <w:kern w:val="0"/>
          <w:szCs w:val="32"/>
        </w:rPr>
      </w:pPr>
      <w:r>
        <w:rPr>
          <w:rFonts w:ascii="楷体_GB2312" w:eastAsia="楷体_GB2312" w:hAnsi="楷体_GB2312" w:cs="楷体_GB2312" w:hint="eastAsia"/>
          <w:b/>
          <w:bCs/>
          <w:kern w:val="0"/>
          <w:szCs w:val="32"/>
        </w:rPr>
        <w:t>（六）师德师风建设</w:t>
      </w:r>
    </w:p>
    <w:p w:rsidR="002F3CC4" w:rsidRDefault="00D16E02">
      <w:pPr>
        <w:spacing w:line="300" w:lineRule="auto"/>
        <w:ind w:firstLineChars="200" w:firstLine="640"/>
        <w:rPr>
          <w:rFonts w:ascii="仿宋_GB2312" w:eastAsia="仿宋_GB2312" w:hAnsi="仿宋_GB2312" w:cs="仿宋_GB2312"/>
          <w:kern w:val="0"/>
          <w:szCs w:val="32"/>
        </w:rPr>
      </w:pPr>
      <w:r>
        <w:rPr>
          <w:rFonts w:ascii="仿宋_GB2312" w:eastAsia="仿宋_GB2312" w:hAnsi="仿宋_GB2312" w:cs="仿宋_GB2312" w:hint="eastAsia"/>
          <w:kern w:val="0"/>
          <w:szCs w:val="32"/>
        </w:rPr>
        <w:t>本专业以《中共中央国务院关于全面深化新时代教师队伍建设改革的意见》精神为指导，强化师德教育，力行师德规范，优化制度环境，促进广大教师思想政治素质、职业道德水平和法纪观念的整体提升。打造一支师德高尚、专业精湛、结构合理、充满活力的新时代高素质教师队伍。</w:t>
      </w:r>
    </w:p>
    <w:p w:rsidR="002F3CC4" w:rsidRDefault="00D16E02">
      <w:pPr>
        <w:spacing w:line="300" w:lineRule="auto"/>
        <w:ind w:firstLineChars="200" w:firstLine="640"/>
        <w:rPr>
          <w:rFonts w:ascii="仿宋_GB2312" w:eastAsia="仿宋_GB2312" w:hAnsi="仿宋_GB2312" w:cs="仿宋_GB2312"/>
          <w:kern w:val="0"/>
          <w:szCs w:val="32"/>
        </w:rPr>
      </w:pPr>
      <w:r>
        <w:rPr>
          <w:rFonts w:ascii="仿宋_GB2312" w:eastAsia="仿宋_GB2312" w:hAnsi="仿宋_GB2312" w:cs="仿宋_GB2312" w:hint="eastAsia"/>
          <w:kern w:val="0"/>
          <w:szCs w:val="32"/>
        </w:rPr>
        <w:t>1. 师德失范行为“一票否决”。建立和完善师德师风建设规章制度体系，发布师德考核实施办法、师德失范“一票否决”实施细则、教师职业道德规范（中英文）等制度，形成一套涵盖师德建设、师德考核与激励、师德失范监督与惩处等全领域制度规范，将师德师风作为评价第一标准贯穿于人才引进、职称评聘、岗位聘用、导师遴选、评优奖励和人才推荐等教师职业发展全过程，实施师德师风一票否决制。</w:t>
      </w:r>
    </w:p>
    <w:p w:rsidR="002F3CC4" w:rsidRDefault="00D16E02">
      <w:pPr>
        <w:spacing w:line="300" w:lineRule="auto"/>
        <w:ind w:firstLineChars="200" w:firstLine="640"/>
        <w:rPr>
          <w:rFonts w:ascii="仿宋_GB2312" w:eastAsia="仿宋_GB2312" w:hAnsi="仿宋_GB2312" w:cs="仿宋_GB2312"/>
          <w:kern w:val="0"/>
          <w:szCs w:val="32"/>
        </w:rPr>
      </w:pPr>
      <w:r>
        <w:rPr>
          <w:rFonts w:ascii="仿宋_GB2312" w:eastAsia="仿宋_GB2312" w:hAnsi="仿宋_GB2312" w:cs="仿宋_GB2312" w:hint="eastAsia"/>
          <w:kern w:val="0"/>
          <w:szCs w:val="32"/>
        </w:rPr>
        <w:t>2. 以党建活动引领师德师风建设。制定抓教师党支部组织力建设实施方案、校院领导联系教师党支部、院系领导“思政第一课”等制度，把立德树人作为学院的根本任务，凸显侨校特色，把中华优秀传统文化更好地传播到五洲四海，为维护祖国统一、港澳繁荣稳定，团结凝聚海内外中华儿女齐心共筑中国梦做出更大贡献。同时，组织全体师生党员参加“学习强国”的学习活动，不定期组织开展专题培训、座谈讨论，加强学习检查和督促考核。例如通过广东省教师公需课学习平台，组织教职工进行师德师风专题教育。</w:t>
      </w:r>
    </w:p>
    <w:p w:rsidR="002F3CC4" w:rsidRDefault="00D16E02">
      <w:pPr>
        <w:spacing w:line="300" w:lineRule="auto"/>
        <w:ind w:firstLineChars="200" w:firstLine="640"/>
        <w:rPr>
          <w:rFonts w:ascii="仿宋_GB2312" w:eastAsia="仿宋_GB2312" w:hAnsi="仿宋_GB2312" w:cs="仿宋_GB2312"/>
          <w:kern w:val="0"/>
          <w:szCs w:val="32"/>
        </w:rPr>
      </w:pPr>
      <w:r>
        <w:rPr>
          <w:rFonts w:ascii="仿宋_GB2312" w:eastAsia="仿宋_GB2312" w:hAnsi="仿宋_GB2312" w:cs="仿宋_GB2312" w:hint="eastAsia"/>
          <w:kern w:val="0"/>
          <w:szCs w:val="32"/>
        </w:rPr>
        <w:t>3. 以教科研活动推动师德师风建设。推出“立德树人——学生眼中的老师”“暨南经院学人系列”“暨南经院名师系列”“暨南经院院长系列”等文章70余篇，总点击量超过10万次，发挥师德榜样力量；学科带头人刘少波教授获评第八届“广东省高等学校教学名师奖”；学科带头人蒋海教授获评暨南大学十佳优秀研究生导师；每年颁发“经济学院特殊贡献奖”表彰从教30周年的教师，以已故经济学家张元元教授名义设立奖教金鼓励师生创新等，加强教师自认同感、幸福感和成就感。</w:t>
      </w:r>
    </w:p>
    <w:p w:rsidR="002F3CC4" w:rsidRDefault="00D16E02">
      <w:pPr>
        <w:autoSpaceDE w:val="0"/>
        <w:autoSpaceDN w:val="0"/>
        <w:adjustRightInd w:val="0"/>
        <w:spacing w:line="300" w:lineRule="auto"/>
        <w:ind w:firstLineChars="200" w:firstLine="643"/>
        <w:jc w:val="left"/>
        <w:rPr>
          <w:rFonts w:ascii="楷体_GB2312" w:eastAsia="楷体_GB2312" w:hAnsi="楷体_GB2312" w:cs="楷体_GB2312"/>
          <w:b/>
          <w:bCs/>
          <w:kern w:val="0"/>
          <w:szCs w:val="32"/>
        </w:rPr>
      </w:pPr>
      <w:r>
        <w:rPr>
          <w:rFonts w:ascii="楷体_GB2312" w:eastAsia="楷体_GB2312" w:hAnsi="楷体_GB2312" w:cs="楷体_GB2312" w:hint="eastAsia"/>
          <w:b/>
          <w:bCs/>
          <w:kern w:val="0"/>
          <w:szCs w:val="32"/>
        </w:rPr>
        <w:t>（七）研究生奖助情况</w:t>
      </w:r>
    </w:p>
    <w:p w:rsidR="002F3CC4" w:rsidRDefault="00D16E02">
      <w:pPr>
        <w:spacing w:line="300" w:lineRule="auto"/>
        <w:ind w:firstLineChars="200" w:firstLine="640"/>
        <w:rPr>
          <w:rFonts w:ascii="仿宋_GB2312" w:eastAsia="仿宋_GB2312" w:hAnsi="仿宋_GB2312" w:cs="仿宋_GB2312"/>
          <w:kern w:val="0"/>
          <w:szCs w:val="32"/>
        </w:rPr>
      </w:pPr>
      <w:r>
        <w:rPr>
          <w:rFonts w:ascii="仿宋_GB2312" w:eastAsia="仿宋_GB2312" w:hAnsi="仿宋_GB2312" w:cs="仿宋_GB2312" w:hint="eastAsia"/>
          <w:kern w:val="0"/>
          <w:szCs w:val="32"/>
        </w:rPr>
        <w:t>本专业学位培养学生在2020年获奖学金、表彰情况。获国家奖学金8人，学业奖学金一等15人，二等159，三等79，澳门银行奖学金5人，张元元奖学金2人，广东省优秀学生1人，校优秀毕业生1人。</w:t>
      </w:r>
    </w:p>
    <w:p w:rsidR="002F3CC4" w:rsidRDefault="00D16E02">
      <w:pPr>
        <w:widowControl/>
        <w:spacing w:line="300" w:lineRule="auto"/>
        <w:textAlignment w:val="baseline"/>
        <w:rPr>
          <w:rStyle w:val="NormalCharacter"/>
          <w:rFonts w:ascii="黑体" w:eastAsia="黑体" w:hAnsi="黑体" w:cs="黑体"/>
          <w:szCs w:val="32"/>
        </w:rPr>
      </w:pPr>
      <w:r>
        <w:rPr>
          <w:rStyle w:val="NormalCharacter"/>
          <w:rFonts w:ascii="黑体" w:eastAsia="黑体" w:hAnsi="黑体" w:cs="黑体" w:hint="eastAsia"/>
          <w:szCs w:val="32"/>
        </w:rPr>
        <w:t>四、研究生教育改革情况</w:t>
      </w:r>
    </w:p>
    <w:p w:rsidR="002F3CC4" w:rsidRDefault="00D16E02">
      <w:pPr>
        <w:spacing w:line="300" w:lineRule="auto"/>
        <w:ind w:firstLineChars="200" w:firstLine="640"/>
        <w:rPr>
          <w:rFonts w:ascii="仿宋_GB2312" w:eastAsia="仿宋_GB2312" w:hAnsi="仿宋_GB2312" w:cs="仿宋_GB2312"/>
          <w:kern w:val="0"/>
          <w:szCs w:val="32"/>
        </w:rPr>
      </w:pPr>
      <w:r>
        <w:rPr>
          <w:rFonts w:ascii="仿宋_GB2312" w:eastAsia="仿宋_GB2312" w:hAnsi="仿宋_GB2312" w:cs="仿宋_GB2312" w:hint="eastAsia"/>
          <w:kern w:val="0"/>
          <w:szCs w:val="32"/>
        </w:rPr>
        <w:t>人才培养，教师队伍建设，科学研究，传承创新优秀文化，国际合作交流等方面的改革创新情况。</w:t>
      </w:r>
    </w:p>
    <w:p w:rsidR="002F3CC4" w:rsidRDefault="00D16E02">
      <w:pPr>
        <w:autoSpaceDE w:val="0"/>
        <w:autoSpaceDN w:val="0"/>
        <w:adjustRightInd w:val="0"/>
        <w:spacing w:line="300" w:lineRule="auto"/>
        <w:ind w:firstLineChars="200" w:firstLine="643"/>
        <w:jc w:val="left"/>
        <w:rPr>
          <w:rFonts w:ascii="楷体_GB2312" w:eastAsia="楷体_GB2312" w:hAnsi="楷体_GB2312" w:cs="楷体_GB2312"/>
          <w:b/>
          <w:bCs/>
          <w:kern w:val="0"/>
          <w:szCs w:val="32"/>
        </w:rPr>
      </w:pPr>
      <w:r>
        <w:rPr>
          <w:rFonts w:ascii="楷体_GB2312" w:eastAsia="楷体_GB2312" w:hAnsi="楷体_GB2312" w:cs="楷体_GB2312" w:hint="eastAsia"/>
          <w:b/>
          <w:bCs/>
          <w:kern w:val="0"/>
          <w:szCs w:val="32"/>
        </w:rPr>
        <w:t>（一）人才培养成果</w:t>
      </w:r>
    </w:p>
    <w:p w:rsidR="002F3CC4" w:rsidRDefault="00D16E02">
      <w:pPr>
        <w:spacing w:line="300" w:lineRule="auto"/>
        <w:ind w:firstLineChars="200" w:firstLine="640"/>
        <w:rPr>
          <w:rFonts w:ascii="仿宋_GB2312" w:eastAsia="仿宋_GB2312" w:hAnsi="仿宋_GB2312" w:cs="仿宋_GB2312"/>
          <w:kern w:val="0"/>
          <w:szCs w:val="32"/>
        </w:rPr>
      </w:pPr>
      <w:r>
        <w:rPr>
          <w:rFonts w:ascii="仿宋_GB2312" w:eastAsia="仿宋_GB2312" w:hAnsi="仿宋_GB2312" w:cs="仿宋_GB2312" w:hint="eastAsia"/>
          <w:kern w:val="0"/>
          <w:szCs w:val="32"/>
        </w:rPr>
        <w:t>2016年至今，本专业培养出了践行习近平总书记关于青年工作的重要思想和党的十八大精神，具有正确金融道德价值观，扎实金融基础，娴熟实践能力，以及富有创新精神的一大批优秀金融学人才，应用性成果丰硕。</w:t>
      </w:r>
    </w:p>
    <w:p w:rsidR="002F3CC4" w:rsidRDefault="00D16E02">
      <w:pPr>
        <w:spacing w:line="300" w:lineRule="auto"/>
        <w:ind w:firstLineChars="200" w:firstLine="640"/>
        <w:rPr>
          <w:rFonts w:ascii="仿宋_GB2312" w:eastAsia="仿宋_GB2312" w:hAnsi="仿宋_GB2312" w:cs="仿宋_GB2312"/>
          <w:kern w:val="0"/>
          <w:szCs w:val="32"/>
        </w:rPr>
      </w:pPr>
      <w:r>
        <w:rPr>
          <w:rFonts w:ascii="仿宋_GB2312" w:eastAsia="仿宋_GB2312" w:hAnsi="仿宋_GB2312" w:cs="仿宋_GB2312" w:hint="eastAsia"/>
          <w:kern w:val="0"/>
          <w:szCs w:val="32"/>
        </w:rPr>
        <w:t>1. 积极参与社会服务，效果显著。近五年来，本专业学位学生参与了《广东农村合作金融发展规划》《广东省金融高新技术服务区发展规划》《开放蓝本-自由贸易试验区》等多个地方政府金融发展规划工作，受到广泛好评。</w:t>
      </w:r>
    </w:p>
    <w:p w:rsidR="002F3CC4" w:rsidRDefault="00D16E02">
      <w:pPr>
        <w:spacing w:line="300" w:lineRule="auto"/>
        <w:ind w:firstLineChars="200" w:firstLine="640"/>
        <w:rPr>
          <w:rFonts w:ascii="仿宋_GB2312" w:eastAsia="仿宋_GB2312" w:hAnsi="仿宋_GB2312" w:cs="仿宋_GB2312"/>
          <w:kern w:val="0"/>
          <w:szCs w:val="32"/>
        </w:rPr>
      </w:pPr>
      <w:r>
        <w:rPr>
          <w:rFonts w:ascii="仿宋_GB2312" w:eastAsia="仿宋_GB2312" w:hAnsi="仿宋_GB2312" w:cs="仿宋_GB2312" w:hint="eastAsia"/>
          <w:kern w:val="0"/>
          <w:szCs w:val="32"/>
        </w:rPr>
        <w:t>2. 踊跃投身学术活动，成果丰硕。本专业学位学生连续4年在全国金融硕士教学案例大赛和全国金融专业学位硕士学位论文大赛中斩获殊荣，目前共计18位学生获得七项优秀案例奖，3位学生获得三项优秀论文奖，成果数量与质量均位居同类高校前列，其中2020年共计3篇。截至2020年底，已有8位学生以第一作者或通讯作者身份在SSCI和CSSCI等国内外核心期刊上发表学术论文11篇，获攀登计划广东省大学生科技创新培育专项计划项目资助1项。</w:t>
      </w:r>
    </w:p>
    <w:p w:rsidR="002F3CC4" w:rsidRDefault="00D16E02">
      <w:pPr>
        <w:spacing w:line="300" w:lineRule="auto"/>
        <w:ind w:firstLineChars="200" w:firstLine="640"/>
        <w:rPr>
          <w:rFonts w:ascii="仿宋_GB2312" w:eastAsia="仿宋_GB2312" w:hAnsi="仿宋_GB2312" w:cs="仿宋_GB2312"/>
          <w:kern w:val="0"/>
          <w:szCs w:val="32"/>
        </w:rPr>
      </w:pPr>
      <w:r>
        <w:rPr>
          <w:rFonts w:ascii="仿宋_GB2312" w:eastAsia="仿宋_GB2312" w:hAnsi="仿宋_GB2312" w:cs="仿宋_GB2312" w:hint="eastAsia"/>
          <w:kern w:val="0"/>
          <w:szCs w:val="32"/>
        </w:rPr>
        <w:t>3. 刻苦打磨专业技能，屡获佳绩。近五年本专业学位有10位学生在全国性竞赛中获得国家级以上奖项6项，省级奖项2项；16位学生获得国家奖学金；137位学生获得了会计、基金、期货、银行、证券等各类资格证书，41位学生通过了CFA、CPA、FRM等资格考试的不同级别。</w:t>
      </w:r>
    </w:p>
    <w:p w:rsidR="002F3CC4" w:rsidRDefault="00D16E02">
      <w:pPr>
        <w:autoSpaceDE w:val="0"/>
        <w:autoSpaceDN w:val="0"/>
        <w:adjustRightInd w:val="0"/>
        <w:spacing w:line="300" w:lineRule="auto"/>
        <w:ind w:firstLineChars="200" w:firstLine="643"/>
        <w:jc w:val="left"/>
        <w:rPr>
          <w:rFonts w:ascii="楷体_GB2312" w:eastAsia="楷体_GB2312" w:hAnsi="楷体_GB2312" w:cs="楷体_GB2312"/>
          <w:b/>
          <w:bCs/>
          <w:kern w:val="0"/>
          <w:szCs w:val="32"/>
        </w:rPr>
      </w:pPr>
      <w:r>
        <w:rPr>
          <w:rFonts w:ascii="楷体_GB2312" w:eastAsia="楷体_GB2312" w:hAnsi="楷体_GB2312" w:cs="楷体_GB2312" w:hint="eastAsia"/>
          <w:b/>
          <w:bCs/>
          <w:kern w:val="0"/>
          <w:szCs w:val="32"/>
        </w:rPr>
        <w:t>（二）教师队伍建设</w:t>
      </w:r>
    </w:p>
    <w:p w:rsidR="002F3CC4" w:rsidRDefault="00D16E02">
      <w:pPr>
        <w:spacing w:line="300" w:lineRule="auto"/>
        <w:ind w:firstLineChars="200" w:firstLine="640"/>
        <w:rPr>
          <w:rFonts w:ascii="仿宋_GB2312" w:eastAsia="仿宋_GB2312" w:hAnsi="仿宋_GB2312" w:cs="仿宋_GB2312"/>
          <w:kern w:val="0"/>
          <w:szCs w:val="32"/>
        </w:rPr>
      </w:pPr>
      <w:r>
        <w:rPr>
          <w:rFonts w:ascii="仿宋_GB2312" w:eastAsia="仿宋_GB2312" w:hAnsi="仿宋_GB2312" w:cs="仿宋_GB2312" w:hint="eastAsia"/>
          <w:kern w:val="0"/>
          <w:szCs w:val="32"/>
        </w:rPr>
        <w:t>本专业师资力量雄厚，学术氛围良好。目前有校内指导老师61人，均具有海外教育背景。其中正高级19人，副高级35人，中级7人；具有博士学位的共58人，占比95%；35岁以下有5人，36-45岁有28人，46岁以上有28人。校外导师共计71人，均有较强的职业背景及丰富的实践经验。近五年，本专业教师获包括广东省高等学校教学名师奖在内的多项教学成果奖，在《经济研究》（12篇）、The Economic Journal等国内外权威期刊发表学术论文120余篇，主持国家级项目32项，省部级及横向课题80余项，深度服务于国家特别是广东的金融和经济发展。</w:t>
      </w:r>
    </w:p>
    <w:p w:rsidR="002F3CC4" w:rsidRDefault="00D16E02">
      <w:pPr>
        <w:spacing w:line="300" w:lineRule="auto"/>
        <w:ind w:firstLineChars="200" w:firstLine="640"/>
        <w:rPr>
          <w:rFonts w:ascii="仿宋_GB2312" w:eastAsia="仿宋_GB2312" w:hAnsi="仿宋_GB2312" w:cs="仿宋_GB2312"/>
          <w:kern w:val="0"/>
          <w:szCs w:val="32"/>
        </w:rPr>
      </w:pPr>
      <w:r>
        <w:rPr>
          <w:rFonts w:ascii="仿宋_GB2312" w:eastAsia="仿宋_GB2312" w:hAnsi="仿宋_GB2312" w:cs="仿宋_GB2312" w:hint="eastAsia"/>
          <w:kern w:val="0"/>
          <w:szCs w:val="32"/>
        </w:rPr>
        <w:t>本专业教师坚持以德立身、以德立学、以德施教，展现出新时代人民教师理想信念坚定、业务素质精湛、勇挑责任担当的精神风貌。学院党委获广东省“党建工作标杆院系”荣誉称号；获批主持广东省教育科学党建规划项目；系所教师党支部获评广东高校第三批“新时代高校党建示范创建和质量创优工作”党建样板支部培育创建单位。</w:t>
      </w:r>
    </w:p>
    <w:p w:rsidR="002F3CC4" w:rsidRDefault="00D16E02">
      <w:pPr>
        <w:spacing w:line="300" w:lineRule="auto"/>
        <w:ind w:firstLineChars="200" w:firstLine="640"/>
        <w:rPr>
          <w:rFonts w:ascii="仿宋_GB2312" w:eastAsia="仿宋_GB2312" w:hAnsi="仿宋_GB2312" w:cs="仿宋_GB2312"/>
          <w:kern w:val="0"/>
          <w:szCs w:val="32"/>
        </w:rPr>
      </w:pPr>
      <w:r>
        <w:rPr>
          <w:rFonts w:ascii="仿宋_GB2312" w:eastAsia="仿宋_GB2312" w:hAnsi="仿宋_GB2312" w:cs="仿宋_GB2312" w:hint="eastAsia"/>
          <w:kern w:val="0"/>
          <w:szCs w:val="32"/>
        </w:rPr>
        <w:t>本专业以推进粤港澳大湾区建设，为大湾区输出高素质金融专门人才为社会使命和历史担当。本专业致力于搭建高质量的政策交流平台，例如举办针对粤港澳大湾区研究的政策活动等。本专业融创新实践与博雅教育为一体，结合金融相关行业对专业人才需求的特点，开设“未来金融家孵化项目”，以培养德、智、体全面发展，具有良好的金融领域综合素质和国际视野的本专业人才为使命。该项目已经取得大量代表性的成果，先后获得暨南大学教学改革成果二等奖两项。师德师风建设获得多方肯定，学科带头人刘少波教授获评第八届“广东省高等学校教学名师奖”；学科带头人蒋海教授获评暨南大学十佳优秀研究生导师；多位专业老师获评暨南大学“十佳优秀教师”“优秀班主任”等多项荣誉。</w:t>
      </w:r>
    </w:p>
    <w:p w:rsidR="002F3CC4" w:rsidRDefault="00D16E02">
      <w:pPr>
        <w:autoSpaceDE w:val="0"/>
        <w:autoSpaceDN w:val="0"/>
        <w:adjustRightInd w:val="0"/>
        <w:spacing w:line="300" w:lineRule="auto"/>
        <w:ind w:firstLineChars="200" w:firstLine="643"/>
        <w:jc w:val="left"/>
        <w:rPr>
          <w:rFonts w:ascii="楷体_GB2312" w:eastAsia="楷体_GB2312" w:hAnsi="楷体_GB2312" w:cs="楷体_GB2312"/>
          <w:b/>
          <w:bCs/>
          <w:kern w:val="0"/>
          <w:szCs w:val="32"/>
        </w:rPr>
      </w:pPr>
      <w:r>
        <w:rPr>
          <w:rFonts w:ascii="楷体_GB2312" w:eastAsia="楷体_GB2312" w:hAnsi="楷体_GB2312" w:cs="楷体_GB2312" w:hint="eastAsia"/>
          <w:b/>
          <w:bCs/>
          <w:kern w:val="0"/>
          <w:szCs w:val="32"/>
        </w:rPr>
        <w:t>（三）服务贡献社会成效</w:t>
      </w:r>
    </w:p>
    <w:p w:rsidR="002F3CC4" w:rsidRDefault="00D16E02">
      <w:pPr>
        <w:spacing w:line="300" w:lineRule="auto"/>
        <w:ind w:firstLineChars="200" w:firstLine="640"/>
        <w:rPr>
          <w:rFonts w:ascii="仿宋_GB2312" w:eastAsia="仿宋_GB2312" w:hAnsi="仿宋_GB2312" w:cs="仿宋_GB2312"/>
          <w:kern w:val="0"/>
          <w:szCs w:val="32"/>
        </w:rPr>
      </w:pPr>
      <w:r>
        <w:rPr>
          <w:rFonts w:ascii="仿宋_GB2312" w:eastAsia="仿宋_GB2312" w:hAnsi="仿宋_GB2312" w:cs="仿宋_GB2312" w:hint="eastAsia"/>
          <w:kern w:val="0"/>
          <w:szCs w:val="32"/>
        </w:rPr>
        <w:t>本专业全方位参与国家金融发展特别是广东金融强省与粤港澳大湾区金融发展建设。</w:t>
      </w:r>
    </w:p>
    <w:p w:rsidR="002F3CC4" w:rsidRDefault="00D16E02">
      <w:pPr>
        <w:spacing w:line="300" w:lineRule="auto"/>
        <w:ind w:firstLineChars="200" w:firstLine="640"/>
        <w:rPr>
          <w:rFonts w:ascii="仿宋_GB2312" w:eastAsia="仿宋_GB2312" w:hAnsi="仿宋_GB2312" w:cs="仿宋_GB2312"/>
          <w:kern w:val="0"/>
          <w:szCs w:val="32"/>
        </w:rPr>
      </w:pPr>
      <w:r>
        <w:rPr>
          <w:rFonts w:ascii="仿宋_GB2312" w:eastAsia="仿宋_GB2312" w:hAnsi="仿宋_GB2312" w:cs="仿宋_GB2312" w:hint="eastAsia"/>
          <w:kern w:val="0"/>
          <w:szCs w:val="32"/>
        </w:rPr>
        <w:t>1. 以高端平台为依托，为金融发展提供政策支持。发挥金融学国家重点学科优势，为广东及华南地区提供金融智力与人才支撑。本专业在广东省政府全力支持下，成立暨南大学南方高等金融研究院，打造具有全国影响力的金融智库。在评估期内承担世界银行金融局、中国人民银行研究局等委托项目30多项。同时，积极参与制定地方金融发展规划与政策，包括粤港澳大湾区绿色金融标准、广东省金融业发展规划等，共有 50 多项研究报告并被采纳，为地方金融发展规划与政策提供了重要支撑。在新冠疫情背景下，提出金融抗疫建议，为新形势下金融助力复工复产提供智力支持。</w:t>
      </w:r>
    </w:p>
    <w:p w:rsidR="002F3CC4" w:rsidRDefault="00D16E02">
      <w:pPr>
        <w:spacing w:line="300" w:lineRule="auto"/>
        <w:ind w:firstLineChars="200" w:firstLine="640"/>
        <w:rPr>
          <w:rFonts w:ascii="仿宋_GB2312" w:eastAsia="仿宋_GB2312" w:hAnsi="仿宋_GB2312" w:cs="仿宋_GB2312"/>
          <w:kern w:val="0"/>
          <w:szCs w:val="32"/>
        </w:rPr>
      </w:pPr>
      <w:r>
        <w:rPr>
          <w:rFonts w:ascii="仿宋_GB2312" w:eastAsia="仿宋_GB2312" w:hAnsi="仿宋_GB2312" w:cs="仿宋_GB2312" w:hint="eastAsia"/>
          <w:kern w:val="0"/>
          <w:szCs w:val="32"/>
        </w:rPr>
        <w:t>2. 以决策咨询专家为通道，直接参与决策咨询活动。5人分别担任中国人民银行货币政策咨询专家、广东省政府参事等。多项决策成果获得省委、省政府领导的批示，并成为地方政府决策的重要依据。</w:t>
      </w:r>
    </w:p>
    <w:p w:rsidR="002F3CC4" w:rsidRDefault="00D16E02">
      <w:pPr>
        <w:spacing w:line="300" w:lineRule="auto"/>
        <w:ind w:firstLineChars="200" w:firstLine="640"/>
        <w:rPr>
          <w:rFonts w:ascii="仿宋_GB2312" w:eastAsia="仿宋_GB2312" w:hAnsi="仿宋_GB2312" w:cs="仿宋_GB2312"/>
          <w:kern w:val="0"/>
          <w:szCs w:val="32"/>
        </w:rPr>
      </w:pPr>
      <w:r>
        <w:rPr>
          <w:rFonts w:ascii="仿宋_GB2312" w:eastAsia="仿宋_GB2312" w:hAnsi="仿宋_GB2312" w:cs="仿宋_GB2312" w:hint="eastAsia"/>
          <w:kern w:val="0"/>
          <w:szCs w:val="32"/>
        </w:rPr>
        <w:t>3. 以培养人才为支撑，为国家各层次发展贡献力量。优秀毕业生任中国人民银行副行长、中国建设银行行长、中国银监会副主席等职。广东省金融系统约三成中高层干部、澳门约四成金融从业人员毕业于暨南大学金融专业，为大湾区金融发展做出突出贡献。</w:t>
      </w:r>
    </w:p>
    <w:p w:rsidR="002F3CC4" w:rsidRDefault="00D16E02">
      <w:pPr>
        <w:spacing w:line="300" w:lineRule="auto"/>
        <w:ind w:firstLineChars="200" w:firstLine="640"/>
        <w:rPr>
          <w:rFonts w:ascii="仿宋_GB2312" w:eastAsia="仿宋_GB2312" w:hAnsi="仿宋_GB2312" w:cs="仿宋_GB2312"/>
          <w:kern w:val="0"/>
          <w:szCs w:val="32"/>
        </w:rPr>
      </w:pPr>
      <w:r>
        <w:rPr>
          <w:rFonts w:ascii="仿宋_GB2312" w:eastAsia="仿宋_GB2312" w:hAnsi="仿宋_GB2312" w:cs="仿宋_GB2312" w:hint="eastAsia"/>
          <w:kern w:val="0"/>
          <w:szCs w:val="32"/>
        </w:rPr>
        <w:t>4. 以产学研合作为纽带，为金融机构注入发展新动能。本专业与人民银行广州结算中心、广发银行等建立博士后工作站与联合培养平台。</w:t>
      </w:r>
    </w:p>
    <w:p w:rsidR="002F3CC4" w:rsidRDefault="00D16E02">
      <w:pPr>
        <w:widowControl/>
        <w:spacing w:line="300" w:lineRule="auto"/>
        <w:textAlignment w:val="baseline"/>
        <w:rPr>
          <w:rStyle w:val="NormalCharacter"/>
          <w:rFonts w:ascii="黑体" w:eastAsia="黑体" w:hAnsi="黑体" w:cs="黑体"/>
          <w:szCs w:val="32"/>
        </w:rPr>
      </w:pPr>
      <w:r>
        <w:rPr>
          <w:rStyle w:val="NormalCharacter"/>
          <w:rFonts w:ascii="黑体" w:eastAsia="黑体" w:hAnsi="黑体" w:cs="黑体" w:hint="eastAsia"/>
          <w:szCs w:val="32"/>
        </w:rPr>
        <w:t>五、教育质量评估与分析</w:t>
      </w:r>
    </w:p>
    <w:p w:rsidR="002F3CC4" w:rsidRDefault="00D16E02">
      <w:pPr>
        <w:spacing w:line="300" w:lineRule="auto"/>
        <w:ind w:firstLineChars="200" w:firstLine="640"/>
        <w:rPr>
          <w:rFonts w:ascii="仿宋_GB2312" w:eastAsia="仿宋_GB2312" w:hAnsi="仿宋_GB2312" w:cs="仿宋_GB2312"/>
          <w:kern w:val="0"/>
          <w:szCs w:val="32"/>
        </w:rPr>
      </w:pPr>
      <w:r>
        <w:rPr>
          <w:rFonts w:ascii="仿宋_GB2312" w:eastAsia="仿宋_GB2312" w:hAnsi="仿宋_GB2312" w:cs="仿宋_GB2312" w:hint="eastAsia"/>
          <w:kern w:val="0"/>
          <w:szCs w:val="32"/>
        </w:rPr>
        <w:t>学科自我评估进展及问题分析，学位论文抽检情况及问题分析。</w:t>
      </w:r>
    </w:p>
    <w:p w:rsidR="002F3CC4" w:rsidRDefault="00D16E02">
      <w:pPr>
        <w:autoSpaceDE w:val="0"/>
        <w:autoSpaceDN w:val="0"/>
        <w:adjustRightInd w:val="0"/>
        <w:spacing w:line="300" w:lineRule="auto"/>
        <w:ind w:firstLineChars="200" w:firstLine="643"/>
        <w:jc w:val="left"/>
        <w:rPr>
          <w:rFonts w:ascii="楷体_GB2312" w:eastAsia="楷体_GB2312" w:hAnsi="楷体_GB2312" w:cs="楷体_GB2312"/>
          <w:b/>
          <w:bCs/>
          <w:kern w:val="0"/>
          <w:szCs w:val="32"/>
        </w:rPr>
      </w:pPr>
      <w:r>
        <w:rPr>
          <w:rFonts w:ascii="楷体_GB2312" w:eastAsia="楷体_GB2312" w:hAnsi="楷体_GB2312" w:cs="楷体_GB2312" w:hint="eastAsia"/>
          <w:b/>
          <w:bCs/>
          <w:kern w:val="0"/>
          <w:szCs w:val="32"/>
        </w:rPr>
        <w:t>（一）学位论文情况</w:t>
      </w:r>
    </w:p>
    <w:p w:rsidR="002F3CC4" w:rsidRDefault="00D16E02">
      <w:pPr>
        <w:spacing w:line="300" w:lineRule="auto"/>
        <w:ind w:firstLineChars="200" w:firstLine="640"/>
        <w:rPr>
          <w:rFonts w:ascii="仿宋_GB2312" w:eastAsia="仿宋_GB2312" w:hAnsi="仿宋_GB2312" w:cs="仿宋_GB2312"/>
          <w:kern w:val="0"/>
          <w:szCs w:val="32"/>
        </w:rPr>
      </w:pPr>
      <w:r>
        <w:rPr>
          <w:rFonts w:ascii="仿宋_GB2312" w:eastAsia="仿宋_GB2312" w:hAnsi="仿宋_GB2312" w:cs="仿宋_GB2312" w:hint="eastAsia"/>
          <w:kern w:val="0"/>
          <w:szCs w:val="32"/>
        </w:rPr>
        <w:t>本专业学位点非常注重毕业论文质量，除了专门制定开题、中期报告、预答辩和正式答辩的管理办法外，还实行毕业论文末位监控制度，淘汰每组答辩末位的学生。学生能认真撰写学位论文，论文选题的范围广泛，包括宏观金融、投资、金融工程、公司金融、金融机构、保险和金融科技等，覆盖金融学的所有领域。论文形式灵活，包括研究设计、案例分析等，能协助解决金融政策制定、金融市场改革、金融机构监管、金融产品和衍生品的创新与定价、风险控制和管理、投资策略、企业投融决策、公司治理等实际存在的金融实践问题，对金融市场、金融机构和企业都有较大的借鉴价值和广阔的应用前景。</w:t>
      </w:r>
    </w:p>
    <w:p w:rsidR="002F3CC4" w:rsidRDefault="00D16E02">
      <w:pPr>
        <w:spacing w:line="300" w:lineRule="auto"/>
        <w:ind w:firstLineChars="200" w:firstLine="640"/>
        <w:rPr>
          <w:rFonts w:ascii="仿宋_GB2312" w:eastAsia="仿宋_GB2312" w:hAnsi="仿宋_GB2312" w:cs="仿宋_GB2312"/>
          <w:kern w:val="0"/>
          <w:szCs w:val="32"/>
        </w:rPr>
      </w:pPr>
      <w:r>
        <w:rPr>
          <w:rFonts w:ascii="仿宋_GB2312" w:eastAsia="仿宋_GB2312" w:hAnsi="仿宋_GB2312" w:cs="仿宋_GB2312" w:hint="eastAsia"/>
          <w:kern w:val="0"/>
          <w:szCs w:val="32"/>
        </w:rPr>
        <w:t>本专业论文抽检100%合格，高质量的毕业论文受到同行和业界的高度评价。本专业执行优中选优的原则，对优秀毕业论文的评选严格把关，每年控制优秀毕业论文的数量不超过3篇。近5年共评选出14篇优秀毕业论文，其中3篇论文《投资者情绪综合指数与股指间关系研究》《资本监管与货币政策对银行风险承担的影响研究——基于我国商业银行异质性的视角》和《我国A股市场系统性风险的网络测度研究——基于HD-TVP-VAR模型的细分行业板块数据》获全国金融专硕教指委优秀毕业论文奖。</w:t>
      </w:r>
    </w:p>
    <w:p w:rsidR="002F3CC4" w:rsidRDefault="00D16E02">
      <w:pPr>
        <w:spacing w:line="300" w:lineRule="auto"/>
        <w:ind w:firstLineChars="200" w:firstLine="640"/>
        <w:rPr>
          <w:rFonts w:ascii="仿宋_GB2312" w:eastAsia="仿宋_GB2312" w:hAnsi="仿宋_GB2312" w:cs="仿宋_GB2312"/>
          <w:kern w:val="0"/>
          <w:szCs w:val="32"/>
        </w:rPr>
      </w:pPr>
      <w:r>
        <w:rPr>
          <w:rFonts w:ascii="仿宋_GB2312" w:eastAsia="仿宋_GB2312" w:hAnsi="仿宋_GB2312" w:cs="仿宋_GB2312" w:hint="eastAsia"/>
          <w:kern w:val="0"/>
          <w:szCs w:val="32"/>
        </w:rPr>
        <w:t>目前存在的问题主要为：学位论文中案例分析、产品设计与金融实践问题解决方案、调研报告或基于实际问题分析的政策建议报告等实践性论文的比重较低。应进一步强化本专业点师生在实践性论文撰写方面的培训，并在选题、素材及写作方面予以支持，以更好地契合专业硕士的培养目标。</w:t>
      </w:r>
    </w:p>
    <w:p w:rsidR="002F3CC4" w:rsidRDefault="00D16E02">
      <w:pPr>
        <w:autoSpaceDE w:val="0"/>
        <w:autoSpaceDN w:val="0"/>
        <w:adjustRightInd w:val="0"/>
        <w:spacing w:line="300" w:lineRule="auto"/>
        <w:ind w:firstLineChars="200" w:firstLine="643"/>
        <w:jc w:val="left"/>
        <w:rPr>
          <w:rFonts w:ascii="楷体_GB2312" w:eastAsia="楷体_GB2312" w:hAnsi="楷体_GB2312" w:cs="楷体_GB2312"/>
          <w:b/>
          <w:bCs/>
          <w:kern w:val="0"/>
          <w:szCs w:val="32"/>
        </w:rPr>
      </w:pPr>
      <w:r>
        <w:rPr>
          <w:rFonts w:ascii="楷体_GB2312" w:eastAsia="楷体_GB2312" w:hAnsi="楷体_GB2312" w:cs="楷体_GB2312" w:hint="eastAsia"/>
          <w:b/>
          <w:bCs/>
          <w:kern w:val="0"/>
          <w:szCs w:val="32"/>
        </w:rPr>
        <w:t>（二）学科自我评估</w:t>
      </w:r>
    </w:p>
    <w:p w:rsidR="002F3CC4" w:rsidRDefault="00D16E02">
      <w:pPr>
        <w:spacing w:line="300" w:lineRule="auto"/>
        <w:ind w:firstLineChars="200" w:firstLine="640"/>
        <w:rPr>
          <w:rFonts w:ascii="仿宋_GB2312" w:eastAsia="仿宋_GB2312" w:hAnsi="仿宋_GB2312" w:cs="仿宋_GB2312"/>
          <w:kern w:val="0"/>
          <w:szCs w:val="32"/>
        </w:rPr>
      </w:pPr>
      <w:r>
        <w:rPr>
          <w:rFonts w:ascii="仿宋_GB2312" w:eastAsia="仿宋_GB2312" w:hAnsi="仿宋_GB2312" w:cs="仿宋_GB2312" w:hint="eastAsia"/>
          <w:kern w:val="0"/>
          <w:szCs w:val="32"/>
        </w:rPr>
        <w:t>本专业学位点搭建高层次人才培养的优势平台和完整体系，围绕课程设置、师资队伍、教学改革和管理、实践教学、双导师制、条件建设等方面进行建设。本专业不断加强师资队伍建设，强化教学科研支撑，注重教学内容、教学方法和教学管理改革，重视校外实践培养，依托金融学国家重点学科、应用经济学一级学科博士点及多个省市重点研究基地，打造具有自身特色的金融专业硕士培养计划，已成为华南地区一流的高端金融人才培养基地。同时也是港澳台地区高层次金融人才培养重镇，在华南地区乃至全国具有重要影响。</w:t>
      </w:r>
    </w:p>
    <w:p w:rsidR="002F3CC4" w:rsidRDefault="00D16E02">
      <w:pPr>
        <w:spacing w:line="300" w:lineRule="auto"/>
        <w:ind w:firstLineChars="200" w:firstLine="640"/>
        <w:rPr>
          <w:rFonts w:ascii="仿宋_GB2312" w:eastAsia="仿宋_GB2312" w:hAnsi="仿宋_GB2312" w:cs="仿宋_GB2312"/>
          <w:kern w:val="0"/>
          <w:szCs w:val="32"/>
        </w:rPr>
      </w:pPr>
      <w:r>
        <w:rPr>
          <w:rFonts w:ascii="仿宋_GB2312" w:eastAsia="仿宋_GB2312" w:hAnsi="仿宋_GB2312" w:cs="仿宋_GB2312" w:hint="eastAsia"/>
          <w:kern w:val="0"/>
          <w:szCs w:val="32"/>
        </w:rPr>
        <w:t>目前存在的主要问题有：专业学位教育实践教学模式有待进一步探索；实践型教师的聘任、考核及激励机制有待完善；与金融专业知识相关的学生活动有待加强；国际化水平有待进一步提高。</w:t>
      </w:r>
    </w:p>
    <w:p w:rsidR="002F3CC4" w:rsidRDefault="00D16E02">
      <w:pPr>
        <w:widowControl/>
        <w:spacing w:line="300" w:lineRule="auto"/>
        <w:textAlignment w:val="baseline"/>
        <w:rPr>
          <w:rStyle w:val="NormalCharacter"/>
          <w:rFonts w:ascii="黑体" w:eastAsia="黑体" w:hAnsi="黑体" w:cs="黑体"/>
          <w:szCs w:val="32"/>
        </w:rPr>
      </w:pPr>
      <w:r>
        <w:rPr>
          <w:rStyle w:val="NormalCharacter"/>
          <w:rFonts w:ascii="黑体" w:eastAsia="黑体" w:hAnsi="黑体" w:cs="黑体" w:hint="eastAsia"/>
          <w:szCs w:val="32"/>
        </w:rPr>
        <w:t>六、改进措施</w:t>
      </w:r>
    </w:p>
    <w:p w:rsidR="002F3CC4" w:rsidRDefault="00D16E02">
      <w:pPr>
        <w:spacing w:line="300" w:lineRule="auto"/>
        <w:ind w:firstLineChars="200" w:firstLine="640"/>
        <w:rPr>
          <w:rFonts w:ascii="仿宋_GB2312" w:eastAsia="仿宋_GB2312" w:hAnsi="仿宋_GB2312" w:cs="仿宋_GB2312"/>
          <w:kern w:val="0"/>
          <w:szCs w:val="32"/>
        </w:rPr>
      </w:pPr>
      <w:r>
        <w:rPr>
          <w:rFonts w:ascii="仿宋_GB2312" w:eastAsia="仿宋_GB2312" w:hAnsi="仿宋_GB2312" w:cs="仿宋_GB2312" w:hint="eastAsia"/>
          <w:kern w:val="0"/>
          <w:szCs w:val="32"/>
        </w:rPr>
        <w:t>针对问题提出改进建议和下一步思路举措</w:t>
      </w:r>
      <w:r>
        <w:rPr>
          <w:rFonts w:ascii="仿宋_GB2312" w:eastAsia="仿宋_GB2312" w:hAnsi="仿宋_GB2312" w:cs="仿宋_GB2312" w:hint="eastAsia"/>
          <w:kern w:val="0"/>
          <w:szCs w:val="32"/>
        </w:rPr>
        <w:tab/>
      </w:r>
    </w:p>
    <w:p w:rsidR="002F3CC4" w:rsidRDefault="00D16E02">
      <w:pPr>
        <w:spacing w:line="300" w:lineRule="auto"/>
        <w:ind w:firstLineChars="200" w:firstLine="640"/>
        <w:rPr>
          <w:rFonts w:ascii="仿宋_GB2312" w:eastAsia="仿宋_GB2312" w:hAnsi="仿宋_GB2312" w:cs="仿宋_GB2312"/>
          <w:kern w:val="0"/>
          <w:szCs w:val="32"/>
        </w:rPr>
      </w:pPr>
      <w:r>
        <w:rPr>
          <w:rFonts w:ascii="仿宋_GB2312" w:eastAsia="仿宋_GB2312" w:hAnsi="仿宋_GB2312" w:cs="仿宋_GB2312" w:hint="eastAsia"/>
          <w:kern w:val="0"/>
          <w:szCs w:val="32"/>
        </w:rPr>
        <w:t>具体改进措施如下：</w:t>
      </w:r>
    </w:p>
    <w:p w:rsidR="002F3CC4" w:rsidRDefault="00D16E02">
      <w:pPr>
        <w:spacing w:line="300" w:lineRule="auto"/>
        <w:ind w:firstLineChars="200" w:firstLine="640"/>
        <w:rPr>
          <w:rFonts w:ascii="仿宋_GB2312" w:eastAsia="仿宋_GB2312" w:hAnsi="仿宋_GB2312" w:cs="仿宋_GB2312"/>
          <w:kern w:val="0"/>
          <w:szCs w:val="32"/>
        </w:rPr>
      </w:pPr>
      <w:r>
        <w:rPr>
          <w:rFonts w:ascii="仿宋_GB2312" w:eastAsia="仿宋_GB2312" w:hAnsi="仿宋_GB2312" w:cs="仿宋_GB2312" w:hint="eastAsia"/>
          <w:kern w:val="0"/>
          <w:szCs w:val="32"/>
        </w:rPr>
        <w:t>根据社会需求动态调整教学模式和课程设计。科学合理地规划金融专业硕士课程体系，根据实践部门需求优化专业课程。同时加强教材建设，及时补充该领域最新的发展情况，保障教学内容的更新，形成与金融专业课程体系动态发展相适应的较为完善的教材体系。此外，继续加大案例教学的比重，持续关注和补充与经济金融紧密联系的发展前沿和实践热点问题，并将其纳入教学内容，反映经济金融发展的最新成果和变化，加强理论与实践的联系，让教学内容与社会实际接轨。</w:t>
      </w:r>
    </w:p>
    <w:p w:rsidR="002F3CC4" w:rsidRDefault="00D16E02">
      <w:pPr>
        <w:spacing w:line="300" w:lineRule="auto"/>
        <w:ind w:firstLineChars="200" w:firstLine="640"/>
        <w:rPr>
          <w:rFonts w:ascii="仿宋_GB2312" w:eastAsia="仿宋_GB2312" w:hAnsi="仿宋_GB2312" w:cs="仿宋_GB2312"/>
          <w:kern w:val="0"/>
          <w:szCs w:val="32"/>
        </w:rPr>
      </w:pPr>
      <w:r>
        <w:rPr>
          <w:rFonts w:ascii="仿宋_GB2312" w:eastAsia="仿宋_GB2312" w:hAnsi="仿宋_GB2312" w:cs="仿宋_GB2312" w:hint="eastAsia"/>
          <w:kern w:val="0"/>
          <w:szCs w:val="32"/>
        </w:rPr>
        <w:t>完善实践型教师的聘任、考核与激励机制。加快引进实践型教学人才，不断完善已有的研究方向和科研团队，打造更多优秀的实践教学团队；巩固以教授和博士为主的科研团队和实践经验丰富的应用教学队伍。具体包括：建立校外导师责权利相一致的激励制度，明确其在培养过程中的职责，提高参与指导学生工作的积极性；完善选拔、考核、管理和监督机制，避免导师聘用的随意性和盲目性，增强行为约束力；构建校内外导师联系与沟通机制，有效解决专业硕士的社会实践与就业问题。</w:t>
      </w:r>
    </w:p>
    <w:p w:rsidR="002F3CC4" w:rsidRDefault="00D16E02">
      <w:pPr>
        <w:spacing w:line="300" w:lineRule="auto"/>
        <w:ind w:firstLineChars="200" w:firstLine="640"/>
        <w:rPr>
          <w:rFonts w:ascii="仿宋_GB2312" w:eastAsia="仿宋_GB2312" w:hAnsi="仿宋_GB2312" w:cs="仿宋_GB2312"/>
          <w:kern w:val="0"/>
          <w:szCs w:val="32"/>
        </w:rPr>
      </w:pPr>
      <w:r>
        <w:rPr>
          <w:rFonts w:ascii="仿宋_GB2312" w:eastAsia="仿宋_GB2312" w:hAnsi="仿宋_GB2312" w:cs="仿宋_GB2312" w:hint="eastAsia"/>
          <w:kern w:val="0"/>
          <w:szCs w:val="32"/>
        </w:rPr>
        <w:t>创新实践教学模式。加大对实践教学基地的投入，建设目标清晰、管理机制健全的实践教学基地。可采取与企业、金融机构或经济管理部门联合申报研究生工作站、合作开展课题研究的方式构建实践基地，培养和提高学生分析、解决实际问题的能力。加强与企业、金融机构战略合作，签订专业硕士培养的专项合作协议，明确学校、企业或金融机构的权责利，形成实践基地完善的管理机制和考核体系，推动研究生实践基地的科学化管理，保障基地长期稳定有效运行。同时增加对案例库建设投入，规范案例的选择标准，并及时更新调整，形成符合专业硕士案例教学需要的案例库。</w:t>
      </w:r>
    </w:p>
    <w:p w:rsidR="00D16E02" w:rsidRDefault="00D16E02">
      <w:pPr>
        <w:spacing w:line="300" w:lineRule="auto"/>
        <w:ind w:firstLineChars="200" w:firstLine="640"/>
        <w:rPr>
          <w:rFonts w:ascii="仿宋_GB2312" w:eastAsia="仿宋_GB2312" w:hAnsi="仿宋_GB2312" w:cs="仿宋_GB2312"/>
          <w:kern w:val="0"/>
          <w:szCs w:val="32"/>
        </w:rPr>
      </w:pPr>
      <w:r>
        <w:rPr>
          <w:rFonts w:ascii="仿宋_GB2312" w:eastAsia="仿宋_GB2312" w:hAnsi="仿宋_GB2312" w:cs="仿宋_GB2312" w:hint="eastAsia"/>
          <w:kern w:val="0"/>
          <w:szCs w:val="32"/>
        </w:rPr>
        <w:t>提高国际化办学水平。为了适应经济全球化的迅速发展对人才培养和高等教育国际化的要求，未来将逐步提高办学的国际化水平。通过合作办学，积极引进国外优质教育资源，积极开展多种形式的交换生项目和学位联合培养项目。争取为本项目引入欧美金融专业排名靠前的大学进行合作，提供丰富多彩的海外学习和国际交流机会，让学生在更高层面、更广泛领域进行交流与学习。</w:t>
      </w:r>
    </w:p>
    <w:p w:rsidR="00D16E02" w:rsidRDefault="00D16E02" w:rsidP="00773E79">
      <w:pPr>
        <w:pStyle w:val="3"/>
        <w:ind w:firstLineChars="0" w:firstLine="0"/>
      </w:pPr>
    </w:p>
    <w:sectPr w:rsidR="00D16E02">
      <w:footerReference w:type="default" r:id="rId10"/>
      <w:pgSz w:w="11906" w:h="16838"/>
      <w:pgMar w:top="1417" w:right="1587" w:bottom="1417" w:left="1474" w:header="851" w:footer="992" w:gutter="0"/>
      <w:pgNumType w:start="1"/>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FA3" w:rsidRDefault="00A01FA3">
      <w:r>
        <w:separator/>
      </w:r>
    </w:p>
  </w:endnote>
  <w:endnote w:type="continuationSeparator" w:id="0">
    <w:p w:rsidR="00A01FA3" w:rsidRDefault="00A01F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仿宋简体">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小标宋简体">
    <w:altName w:val="微软雅黑"/>
    <w:charset w:val="86"/>
    <w:family w:val="auto"/>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auto"/>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E02" w:rsidRDefault="00D16E02">
    <w:pPr>
      <w:pStyle w:val="a4"/>
      <w:widowControl/>
      <w:textAlignment w:val="baseline"/>
      <w:rPr>
        <w:rStyle w:val="NormalCharacter"/>
        <w:rFonts w:ascii="Times New Roman" w:eastAsia="宋体" w:hAnsi="Times New Roman"/>
        <w:sz w:val="18"/>
        <w:szCs w:val="18"/>
      </w:rPr>
    </w:pPr>
    <w:r>
      <w:rPr>
        <w:noProof/>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D16E02" w:rsidRDefault="00D16E02">
                          <w:pPr>
                            <w:pStyle w:val="a4"/>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1" o:spid="_x0000_s1026" type="#_x0000_t202" style="position:absolute;margin-left:0;margin-top:0;width:2in;height:2in;z-index:25166336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LxBcYxhAgAADAUAAA4AAAAAAAAAAAAAAAAALgIAAGRycy9lMm9Eb2MueG1s&#10;UEsBAi0AFAAGAAgAAAAhAHGq0bnXAAAABQEAAA8AAAAAAAAAAAAAAAAAuwQAAGRycy9kb3ducmV2&#10;LnhtbFBLBQYAAAAABAAEAPMAAAC/BQAAAAA=&#10;" filled="f" stroked="f" strokeweight=".5pt">
              <v:textbox style="mso-fit-shape-to-text:t" inset="0,0,0,0">
                <w:txbxContent>
                  <w:p w:rsidR="00D16E02" w:rsidRDefault="00D16E02">
                    <w:pPr>
                      <w:pStyle w:val="a4"/>
                    </w:pPr>
                  </w:p>
                </w:txbxContent>
              </v:textbox>
              <w10:wrap anchorx="margin"/>
            </v:shape>
          </w:pict>
        </mc:Fallback>
      </mc:AlternateContent>
    </w:r>
    <w:r>
      <w:rPr>
        <w:rStyle w:val="NormalCharacter"/>
        <w:rFonts w:ascii="Times New Roman" w:eastAsia="宋体" w:hAnsi="Times New Roman"/>
        <w:noProof/>
        <w:sz w:val="18"/>
        <w:szCs w:val="18"/>
      </w:rP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paragraph">
                <wp:posOffset>8255</wp:posOffset>
              </wp:positionV>
              <wp:extent cx="1828800" cy="1828800"/>
              <wp:effectExtent l="0" t="0" r="0" b="0"/>
              <wp:wrapNone/>
              <wp:docPr id="1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D16E02" w:rsidRDefault="00D16E02">
                          <w:pPr>
                            <w:pStyle w:val="a4"/>
                            <w:widowControl/>
                            <w:jc w:val="both"/>
                            <w:textAlignment w:val="baseline"/>
                            <w:rPr>
                              <w:rStyle w:val="NormalCharacter"/>
                              <w:rFonts w:ascii="Times New Roman" w:eastAsia="宋体" w:hAnsi="Times New Roman"/>
                              <w:sz w:val="20"/>
                              <w:szCs w:val="18"/>
                            </w:rPr>
                          </w:pPr>
                        </w:p>
                        <w:p w:rsidR="00D16E02" w:rsidRDefault="00D16E02">
                          <w:pPr>
                            <w:textAlignment w:val="baseline"/>
                            <w:rPr>
                              <w:rStyle w:val="NormalCharacter"/>
                              <w:rFonts w:ascii="Times New Roman" w:eastAsia="宋体" w:hAnsi="Times New Roman"/>
                              <w:sz w:val="21"/>
                            </w:rPr>
                          </w:pPr>
                        </w:p>
                      </w:txbxContent>
                    </wps:txbx>
                    <wps:bodyPr lIns="0" tIns="0" rIns="0" bIns="0" upright="1"/>
                  </wps:wsp>
                </a:graphicData>
              </a:graphic>
            </wp:anchor>
          </w:drawing>
        </mc:Choice>
        <mc:Fallback>
          <w:pict>
            <v:shape id="文本框 1" o:spid="_x0000_s1027" type="#_x0000_t202" style="position:absolute;margin-left:0;margin-top:.65pt;width:2in;height:2in;z-index:251657216;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" filled="f" stroked="f" strokeweight="1.25pt">
              <v:textbox inset="0,0,0,0">
                <w:txbxContent>
                  <w:p w:rsidR="00D16E02" w:rsidRDefault="00D16E02">
                    <w:pPr>
                      <w:pStyle w:val="a4"/>
                      <w:widowControl/>
                      <w:jc w:val="both"/>
                      <w:textAlignment w:val="baseline"/>
                      <w:rPr>
                        <w:rStyle w:val="NormalCharacter"/>
                        <w:rFonts w:ascii="Times New Roman" w:eastAsia="宋体" w:hAnsi="Times New Roman"/>
                        <w:sz w:val="20"/>
                        <w:szCs w:val="18"/>
                      </w:rPr>
                    </w:pPr>
                  </w:p>
                  <w:p w:rsidR="00D16E02" w:rsidRDefault="00D16E02">
                    <w:pPr>
                      <w:textAlignment w:val="baseline"/>
                      <w:rPr>
                        <w:rStyle w:val="NormalCharacter"/>
                        <w:rFonts w:ascii="Times New Roman" w:eastAsia="宋体" w:hAnsi="Times New Roman"/>
                        <w:sz w:val="21"/>
                      </w:rPr>
                    </w:pP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E02" w:rsidRDefault="00D16E02">
    <w:pPr>
      <w:pStyle w:val="a4"/>
      <w:widowControl/>
      <w:jc w:val="center"/>
      <w:textAlignment w:val="baseline"/>
      <w:rPr>
        <w:rStyle w:val="NormalCharacter"/>
        <w:rFonts w:ascii="Times New Roman" w:eastAsia="宋体" w:hAnsi="Times New Roman"/>
        <w:sz w:val="28"/>
        <w:szCs w:val="28"/>
      </w:rPr>
    </w:pPr>
    <w:r>
      <w:rPr>
        <w:rStyle w:val="NormalCharacter"/>
        <w:rFonts w:ascii="Times New Roman" w:eastAsia="宋体" w:hAnsi="Times New Roman"/>
        <w:noProof/>
        <w:sz w:val="28"/>
        <w:szCs w:val="28"/>
      </w:rPr>
      <mc:AlternateContent>
        <mc:Choice Requires="wps">
          <w:drawing>
            <wp:anchor distT="0" distB="0" distL="114300" distR="114300" simplePos="0" relativeHeight="251653120" behindDoc="0" locked="0" layoutInCell="1" allowOverlap="1" wp14:anchorId="34CF35F5" wp14:editId="0C55D4D8">
              <wp:simplePos x="0" y="0"/>
              <wp:positionH relativeFrom="margin">
                <wp:align>center</wp:align>
              </wp:positionH>
              <wp:positionV relativeFrom="paragraph">
                <wp:posOffset>0</wp:posOffset>
              </wp:positionV>
              <wp:extent cx="1828800" cy="1828800"/>
              <wp:effectExtent l="0" t="0" r="0" b="0"/>
              <wp:wrapNone/>
              <wp:docPr id="16"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D16E02" w:rsidRDefault="00D16E02">
                          <w:pPr>
                            <w:pStyle w:val="a4"/>
                            <w:widowControl/>
                            <w:jc w:val="center"/>
                            <w:textAlignment w:val="baseline"/>
                            <w:rPr>
                              <w:rStyle w:val="NormalCharacter"/>
                              <w:rFonts w:ascii="仿宋_GB2312" w:eastAsia="仿宋_GB2312" w:hAnsi="仿宋_GB2312"/>
                              <w:sz w:val="28"/>
                              <w:szCs w:val="28"/>
                            </w:rPr>
                          </w:pPr>
                        </w:p>
                        <w:p w:rsidR="00D16E02" w:rsidRDefault="00D16E02">
                          <w:pPr>
                            <w:textAlignment w:val="baseline"/>
                            <w:rPr>
                              <w:rStyle w:val="NormalCharacter"/>
                              <w:rFonts w:ascii="Times New Roman" w:eastAsia="宋体" w:hAnsi="Times New Roman"/>
                              <w:sz w:val="21"/>
                            </w:rPr>
                          </w:pPr>
                        </w:p>
                      </w:txbxContent>
                    </wps:txbx>
                    <wps:bodyPr lIns="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文本框 44" o:spid="_x0000_s1028" type="#_x0000_t202" style="position:absolute;left:0;text-align:left;margin-left:0;margin-top:0;width:2in;height:2in;z-index:251653120;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" filled="f" stroked="f" strokeweight="1.25pt">
              <v:textbox inset="0,0,0,0">
                <w:txbxContent>
                  <w:p w:rsidR="00D16E02" w:rsidRDefault="00D16E02">
                    <w:pPr>
                      <w:pStyle w:val="a4"/>
                      <w:widowControl/>
                      <w:jc w:val="center"/>
                      <w:textAlignment w:val="baseline"/>
                      <w:rPr>
                        <w:rStyle w:val="NormalCharacter"/>
                        <w:rFonts w:ascii="仿宋_GB2312" w:eastAsia="仿宋_GB2312" w:hAnsi="仿宋_GB2312"/>
                        <w:sz w:val="28"/>
                        <w:szCs w:val="28"/>
                      </w:rPr>
                    </w:pPr>
                  </w:p>
                  <w:p w:rsidR="00D16E02" w:rsidRDefault="00D16E02">
                    <w:pPr>
                      <w:textAlignment w:val="baseline"/>
                      <w:rPr>
                        <w:rStyle w:val="NormalCharacter"/>
                        <w:rFonts w:ascii="Times New Roman" w:eastAsia="宋体" w:hAnsi="Times New Roman"/>
                        <w:sz w:val="21"/>
                      </w:rPr>
                    </w:pP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FA3" w:rsidRDefault="00A01FA3">
      <w:r>
        <w:separator/>
      </w:r>
    </w:p>
  </w:footnote>
  <w:footnote w:type="continuationSeparator" w:id="0">
    <w:p w:rsidR="00A01FA3" w:rsidRDefault="00A01F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E6520E"/>
    <w:multiLevelType w:val="singleLevel"/>
    <w:tmpl w:val="99E6520E"/>
    <w:lvl w:ilvl="0">
      <w:start w:val="2"/>
      <w:numFmt w:val="decimal"/>
      <w:suff w:val="space"/>
      <w:lvlText w:val="%1."/>
      <w:lvlJc w:val="left"/>
      <w:pPr>
        <w:ind w:left="0" w:firstLine="0"/>
      </w:pPr>
    </w:lvl>
  </w:abstractNum>
  <w:abstractNum w:abstractNumId="1">
    <w:nsid w:val="11A0450F"/>
    <w:multiLevelType w:val="singleLevel"/>
    <w:tmpl w:val="11A0450F"/>
    <w:lvl w:ilvl="0">
      <w:start w:val="3"/>
      <w:numFmt w:val="decimal"/>
      <w:suff w:val="space"/>
      <w:lvlText w:val="%1."/>
      <w:lvlJc w:val="left"/>
      <w:pPr>
        <w:ind w:left="0" w:firstLine="0"/>
      </w:pPr>
    </w:lvl>
  </w:abstractNum>
  <w:abstractNum w:abstractNumId="2">
    <w:nsid w:val="152D8229"/>
    <w:multiLevelType w:val="singleLevel"/>
    <w:tmpl w:val="152D8229"/>
    <w:lvl w:ilvl="0">
      <w:start w:val="1"/>
      <w:numFmt w:val="decimal"/>
      <w:suff w:val="space"/>
      <w:lvlText w:val="%1."/>
      <w:lvlJc w:val="left"/>
      <w:pPr>
        <w:ind w:left="0" w:firstLine="0"/>
      </w:pPr>
    </w:lvl>
  </w:abstractNum>
  <w:num w:numId="1">
    <w:abstractNumId w:val="2"/>
    <w:lvlOverride w:ilvl="0">
      <w:startOverride w:val="1"/>
    </w:lvlOverride>
  </w:num>
  <w:num w:numId="2">
    <w:abstractNumId w:val="0"/>
    <w:lvlOverride w:ilvl="0">
      <w:startOverride w:val="2"/>
    </w:lvlOverride>
  </w:num>
  <w:num w:numId="3">
    <w:abstractNumId w:val="1"/>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bordersDoNotSurroundHeader/>
  <w:bordersDoNotSurroundFooter/>
  <w:defaultTabStop w:val="420"/>
  <w:drawingGridVerticalSpacing w:val="156"/>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DEB"/>
    <w:rsid w:val="0000504C"/>
    <w:rsid w:val="00036799"/>
    <w:rsid w:val="00045A01"/>
    <w:rsid w:val="00072396"/>
    <w:rsid w:val="00076BF0"/>
    <w:rsid w:val="00082791"/>
    <w:rsid w:val="000C069F"/>
    <w:rsid w:val="000D0608"/>
    <w:rsid w:val="000D2F32"/>
    <w:rsid w:val="001015C4"/>
    <w:rsid w:val="00190044"/>
    <w:rsid w:val="001C08A8"/>
    <w:rsid w:val="001C3F08"/>
    <w:rsid w:val="001D525E"/>
    <w:rsid w:val="001F4A2F"/>
    <w:rsid w:val="001F675D"/>
    <w:rsid w:val="00292978"/>
    <w:rsid w:val="00297C0B"/>
    <w:rsid w:val="002A2A8F"/>
    <w:rsid w:val="002A4D11"/>
    <w:rsid w:val="002D1984"/>
    <w:rsid w:val="002E1AC4"/>
    <w:rsid w:val="002F3CC4"/>
    <w:rsid w:val="0032791F"/>
    <w:rsid w:val="00350740"/>
    <w:rsid w:val="00354E8F"/>
    <w:rsid w:val="003B3D8E"/>
    <w:rsid w:val="003D197A"/>
    <w:rsid w:val="003F706B"/>
    <w:rsid w:val="00451F04"/>
    <w:rsid w:val="00483906"/>
    <w:rsid w:val="004E0DC7"/>
    <w:rsid w:val="00504486"/>
    <w:rsid w:val="00512439"/>
    <w:rsid w:val="005359D4"/>
    <w:rsid w:val="0056480B"/>
    <w:rsid w:val="005A7D4A"/>
    <w:rsid w:val="005C265D"/>
    <w:rsid w:val="005D4792"/>
    <w:rsid w:val="0065384E"/>
    <w:rsid w:val="00682352"/>
    <w:rsid w:val="00702CF9"/>
    <w:rsid w:val="00754BB3"/>
    <w:rsid w:val="00773E79"/>
    <w:rsid w:val="00784E94"/>
    <w:rsid w:val="007852C0"/>
    <w:rsid w:val="00795185"/>
    <w:rsid w:val="007A73FA"/>
    <w:rsid w:val="007B2967"/>
    <w:rsid w:val="007C213D"/>
    <w:rsid w:val="00811D6A"/>
    <w:rsid w:val="00852085"/>
    <w:rsid w:val="008639D3"/>
    <w:rsid w:val="00870850"/>
    <w:rsid w:val="00873102"/>
    <w:rsid w:val="00893360"/>
    <w:rsid w:val="008B2105"/>
    <w:rsid w:val="008B5BC1"/>
    <w:rsid w:val="008C48E9"/>
    <w:rsid w:val="008D3830"/>
    <w:rsid w:val="008E6539"/>
    <w:rsid w:val="008F1E7B"/>
    <w:rsid w:val="009A5C52"/>
    <w:rsid w:val="009C6210"/>
    <w:rsid w:val="00A01FA3"/>
    <w:rsid w:val="00A14FEB"/>
    <w:rsid w:val="00A349CF"/>
    <w:rsid w:val="00A54693"/>
    <w:rsid w:val="00A91F93"/>
    <w:rsid w:val="00AD07C0"/>
    <w:rsid w:val="00AF09DD"/>
    <w:rsid w:val="00B00288"/>
    <w:rsid w:val="00B309D6"/>
    <w:rsid w:val="00B33A11"/>
    <w:rsid w:val="00B71C8D"/>
    <w:rsid w:val="00B80C1C"/>
    <w:rsid w:val="00BF29F3"/>
    <w:rsid w:val="00C057DD"/>
    <w:rsid w:val="00C35480"/>
    <w:rsid w:val="00C84746"/>
    <w:rsid w:val="00CA71FB"/>
    <w:rsid w:val="00D120A9"/>
    <w:rsid w:val="00D16E02"/>
    <w:rsid w:val="00D461DF"/>
    <w:rsid w:val="00D6571C"/>
    <w:rsid w:val="00D7590F"/>
    <w:rsid w:val="00D93DEC"/>
    <w:rsid w:val="00D94DEB"/>
    <w:rsid w:val="00DA4929"/>
    <w:rsid w:val="00DA77BC"/>
    <w:rsid w:val="00DB2025"/>
    <w:rsid w:val="00DC03A4"/>
    <w:rsid w:val="00E53D40"/>
    <w:rsid w:val="00E646AE"/>
    <w:rsid w:val="00EA53C8"/>
    <w:rsid w:val="00EB4DF8"/>
    <w:rsid w:val="00ED6853"/>
    <w:rsid w:val="00EE5FB1"/>
    <w:rsid w:val="00F47124"/>
    <w:rsid w:val="00F73CDD"/>
    <w:rsid w:val="00F956A1"/>
    <w:rsid w:val="00FC39D6"/>
    <w:rsid w:val="00FF589B"/>
    <w:rsid w:val="05235D34"/>
    <w:rsid w:val="06A20A39"/>
    <w:rsid w:val="08D12F00"/>
    <w:rsid w:val="0B3049D6"/>
    <w:rsid w:val="0B692FE1"/>
    <w:rsid w:val="0C480258"/>
    <w:rsid w:val="0CD00F0A"/>
    <w:rsid w:val="0EBD0E70"/>
    <w:rsid w:val="0F712BB6"/>
    <w:rsid w:val="102354BF"/>
    <w:rsid w:val="121A010C"/>
    <w:rsid w:val="16F83C72"/>
    <w:rsid w:val="1CC25C22"/>
    <w:rsid w:val="1E501745"/>
    <w:rsid w:val="27A929FE"/>
    <w:rsid w:val="2C21126A"/>
    <w:rsid w:val="2C752F1C"/>
    <w:rsid w:val="33D83D93"/>
    <w:rsid w:val="38147E3B"/>
    <w:rsid w:val="389D0C80"/>
    <w:rsid w:val="3B857ED9"/>
    <w:rsid w:val="3B9B0C14"/>
    <w:rsid w:val="3D9B21BA"/>
    <w:rsid w:val="3EE83FF7"/>
    <w:rsid w:val="3F40671A"/>
    <w:rsid w:val="3FEE08F8"/>
    <w:rsid w:val="43673D14"/>
    <w:rsid w:val="43E04937"/>
    <w:rsid w:val="44173ECB"/>
    <w:rsid w:val="44421984"/>
    <w:rsid w:val="44A44BC4"/>
    <w:rsid w:val="44AD2E0D"/>
    <w:rsid w:val="46C035F8"/>
    <w:rsid w:val="4D7D7DB9"/>
    <w:rsid w:val="51BE544C"/>
    <w:rsid w:val="526E1E56"/>
    <w:rsid w:val="5338480E"/>
    <w:rsid w:val="562166FF"/>
    <w:rsid w:val="56E90240"/>
    <w:rsid w:val="57A23368"/>
    <w:rsid w:val="57EF7F46"/>
    <w:rsid w:val="58815E06"/>
    <w:rsid w:val="5EC47139"/>
    <w:rsid w:val="659F2553"/>
    <w:rsid w:val="66EF4E57"/>
    <w:rsid w:val="67A4342A"/>
    <w:rsid w:val="680B49D5"/>
    <w:rsid w:val="6A215794"/>
    <w:rsid w:val="6AAB5A90"/>
    <w:rsid w:val="6C160F2C"/>
    <w:rsid w:val="6E995A95"/>
    <w:rsid w:val="7229607F"/>
    <w:rsid w:val="73D25D6E"/>
    <w:rsid w:val="740B40E6"/>
    <w:rsid w:val="75187F78"/>
    <w:rsid w:val="754E378A"/>
    <w:rsid w:val="75D7090C"/>
    <w:rsid w:val="77260526"/>
    <w:rsid w:val="77B72634"/>
    <w:rsid w:val="77F40DE4"/>
    <w:rsid w:val="7AF721A5"/>
    <w:rsid w:val="7BBC67DB"/>
    <w:rsid w:val="7DD37E5E"/>
    <w:rsid w:val="7E637C8C"/>
    <w:rsid w:val="7FB31700"/>
    <w:rsid w:val="7FD03A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iPriority="9"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nhideWhenUsed="0" w:qFormat="1"/>
    <w:lsdException w:name="caption" w:semiHidden="0" w:qFormat="1"/>
    <w:lsdException w:name="page number" w:semiHidden="0" w:unhideWhenUsed="0"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semiHidden="0" w:unhideWhenUsed="0" w:qFormat="1"/>
    <w:lsdException w:name="FollowedHyperlink"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nhideWhenUsed="0" w:qFormat="1"/>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pPr>
      <w:widowControl w:val="0"/>
      <w:jc w:val="both"/>
    </w:pPr>
    <w:rPr>
      <w:rFonts w:asciiTheme="minorHAnsi" w:eastAsia="方正仿宋简体" w:hAnsiTheme="minorHAnsi" w:cstheme="minorBidi"/>
      <w:kern w:val="2"/>
      <w:sz w:val="32"/>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paragraph" w:styleId="3">
    <w:name w:val="heading 3"/>
    <w:basedOn w:val="a"/>
    <w:next w:val="a"/>
    <w:uiPriority w:val="9"/>
    <w:qFormat/>
    <w:pPr>
      <w:spacing w:line="600" w:lineRule="exact"/>
      <w:ind w:firstLineChars="200" w:firstLine="640"/>
      <w:outlineLvl w:val="2"/>
    </w:pPr>
    <w:rPr>
      <w:rFonts w:ascii="黑体" w:eastAsia="黑体" w:hAnsi="黑体"/>
      <w:color w:val="00000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nhideWhenUsed/>
    <w:qFormat/>
    <w:rPr>
      <w:rFonts w:ascii="Calibri" w:hAnsi="Calibri"/>
      <w:sz w:val="20"/>
      <w:szCs w:val="20"/>
    </w:r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pPr>
      <w:spacing w:beforeAutospacing="1" w:afterAutospacing="1"/>
      <w:jc w:val="left"/>
    </w:pPr>
    <w:rPr>
      <w:rFonts w:cs="Times New Roman"/>
      <w:kern w:val="0"/>
      <w:sz w:val="24"/>
    </w:rPr>
  </w:style>
  <w:style w:type="table" w:styleId="a7">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qFormat/>
    <w:rPr>
      <w:b/>
    </w:rPr>
  </w:style>
  <w:style w:type="character" w:styleId="a9">
    <w:name w:val="page number"/>
    <w:basedOn w:val="a0"/>
    <w:qFormat/>
  </w:style>
  <w:style w:type="character" w:styleId="aa">
    <w:name w:val="FollowedHyperlink"/>
    <w:basedOn w:val="a0"/>
    <w:qFormat/>
    <w:rPr>
      <w:color w:val="800080"/>
      <w:u w:val="none"/>
    </w:rPr>
  </w:style>
  <w:style w:type="character" w:styleId="ab">
    <w:name w:val="Hyperlink"/>
    <w:basedOn w:val="a0"/>
    <w:qFormat/>
    <w:rPr>
      <w:color w:val="0000FF"/>
      <w:u w:val="none"/>
    </w:rPr>
  </w:style>
  <w:style w:type="character" w:customStyle="1" w:styleId="hover21">
    <w:name w:val="hover21"/>
    <w:basedOn w:val="a0"/>
    <w:qFormat/>
    <w:rPr>
      <w:color w:val="557EE7"/>
    </w:rPr>
  </w:style>
  <w:style w:type="paragraph" w:customStyle="1" w:styleId="-11">
    <w:name w:val="彩色列表 - 强调文字颜色 11"/>
    <w:basedOn w:val="a"/>
    <w:qFormat/>
    <w:pPr>
      <w:ind w:firstLineChars="200" w:firstLine="420"/>
    </w:pPr>
    <w:rPr>
      <w:rFonts w:ascii="Cambria" w:hAnsi="Cambria"/>
      <w:szCs w:val="22"/>
    </w:rPr>
  </w:style>
  <w:style w:type="character" w:customStyle="1" w:styleId="NormalCharacter">
    <w:name w:val="NormalCharacter"/>
    <w:semiHidden/>
    <w:qFormat/>
    <w:rPr>
      <w:rFonts w:asciiTheme="minorHAnsi" w:eastAsia="方正仿宋简体" w:hAnsiTheme="minorHAnsi" w:cstheme="minorBidi"/>
      <w:kern w:val="2"/>
      <w:sz w:val="32"/>
      <w:szCs w:val="24"/>
      <w:lang w:val="en-US" w:eastAsia="zh-CN" w:bidi="ar-SA"/>
    </w:rPr>
  </w:style>
  <w:style w:type="paragraph" w:customStyle="1" w:styleId="Heading3">
    <w:name w:val="Heading3"/>
    <w:basedOn w:val="a"/>
    <w:next w:val="a"/>
    <w:qFormat/>
    <w:pPr>
      <w:spacing w:line="600" w:lineRule="exact"/>
      <w:ind w:firstLineChars="200" w:firstLine="640"/>
      <w:textAlignment w:val="baseline"/>
    </w:pPr>
    <w:rPr>
      <w:rFonts w:ascii="黑体" w:eastAsia="黑体" w:hAnsi="黑体"/>
      <w:color w:val="000000"/>
      <w:szCs w:val="32"/>
    </w:rPr>
  </w:style>
  <w:style w:type="paragraph" w:styleId="ac">
    <w:name w:val="List Paragraph"/>
    <w:basedOn w:val="a"/>
    <w:uiPriority w:val="99"/>
    <w:unhideWhenUsed/>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iPriority="9"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nhideWhenUsed="0" w:qFormat="1"/>
    <w:lsdException w:name="caption" w:semiHidden="0" w:qFormat="1"/>
    <w:lsdException w:name="page number" w:semiHidden="0" w:unhideWhenUsed="0"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semiHidden="0" w:unhideWhenUsed="0" w:qFormat="1"/>
    <w:lsdException w:name="FollowedHyperlink"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nhideWhenUsed="0" w:qFormat="1"/>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pPr>
      <w:widowControl w:val="0"/>
      <w:jc w:val="both"/>
    </w:pPr>
    <w:rPr>
      <w:rFonts w:asciiTheme="minorHAnsi" w:eastAsia="方正仿宋简体" w:hAnsiTheme="minorHAnsi" w:cstheme="minorBidi"/>
      <w:kern w:val="2"/>
      <w:sz w:val="32"/>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paragraph" w:styleId="3">
    <w:name w:val="heading 3"/>
    <w:basedOn w:val="a"/>
    <w:next w:val="a"/>
    <w:uiPriority w:val="9"/>
    <w:qFormat/>
    <w:pPr>
      <w:spacing w:line="600" w:lineRule="exact"/>
      <w:ind w:firstLineChars="200" w:firstLine="640"/>
      <w:outlineLvl w:val="2"/>
    </w:pPr>
    <w:rPr>
      <w:rFonts w:ascii="黑体" w:eastAsia="黑体" w:hAnsi="黑体"/>
      <w:color w:val="00000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nhideWhenUsed/>
    <w:qFormat/>
    <w:rPr>
      <w:rFonts w:ascii="Calibri" w:hAnsi="Calibri"/>
      <w:sz w:val="20"/>
      <w:szCs w:val="20"/>
    </w:r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pPr>
      <w:spacing w:beforeAutospacing="1" w:afterAutospacing="1"/>
      <w:jc w:val="left"/>
    </w:pPr>
    <w:rPr>
      <w:rFonts w:cs="Times New Roman"/>
      <w:kern w:val="0"/>
      <w:sz w:val="24"/>
    </w:rPr>
  </w:style>
  <w:style w:type="table" w:styleId="a7">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qFormat/>
    <w:rPr>
      <w:b/>
    </w:rPr>
  </w:style>
  <w:style w:type="character" w:styleId="a9">
    <w:name w:val="page number"/>
    <w:basedOn w:val="a0"/>
    <w:qFormat/>
  </w:style>
  <w:style w:type="character" w:styleId="aa">
    <w:name w:val="FollowedHyperlink"/>
    <w:basedOn w:val="a0"/>
    <w:qFormat/>
    <w:rPr>
      <w:color w:val="800080"/>
      <w:u w:val="none"/>
    </w:rPr>
  </w:style>
  <w:style w:type="character" w:styleId="ab">
    <w:name w:val="Hyperlink"/>
    <w:basedOn w:val="a0"/>
    <w:qFormat/>
    <w:rPr>
      <w:color w:val="0000FF"/>
      <w:u w:val="none"/>
    </w:rPr>
  </w:style>
  <w:style w:type="character" w:customStyle="1" w:styleId="hover21">
    <w:name w:val="hover21"/>
    <w:basedOn w:val="a0"/>
    <w:qFormat/>
    <w:rPr>
      <w:color w:val="557EE7"/>
    </w:rPr>
  </w:style>
  <w:style w:type="paragraph" w:customStyle="1" w:styleId="-11">
    <w:name w:val="彩色列表 - 强调文字颜色 11"/>
    <w:basedOn w:val="a"/>
    <w:qFormat/>
    <w:pPr>
      <w:ind w:firstLineChars="200" w:firstLine="420"/>
    </w:pPr>
    <w:rPr>
      <w:rFonts w:ascii="Cambria" w:hAnsi="Cambria"/>
      <w:szCs w:val="22"/>
    </w:rPr>
  </w:style>
  <w:style w:type="character" w:customStyle="1" w:styleId="NormalCharacter">
    <w:name w:val="NormalCharacter"/>
    <w:semiHidden/>
    <w:qFormat/>
    <w:rPr>
      <w:rFonts w:asciiTheme="minorHAnsi" w:eastAsia="方正仿宋简体" w:hAnsiTheme="minorHAnsi" w:cstheme="minorBidi"/>
      <w:kern w:val="2"/>
      <w:sz w:val="32"/>
      <w:szCs w:val="24"/>
      <w:lang w:val="en-US" w:eastAsia="zh-CN" w:bidi="ar-SA"/>
    </w:rPr>
  </w:style>
  <w:style w:type="paragraph" w:customStyle="1" w:styleId="Heading3">
    <w:name w:val="Heading3"/>
    <w:basedOn w:val="a"/>
    <w:next w:val="a"/>
    <w:qFormat/>
    <w:pPr>
      <w:spacing w:line="600" w:lineRule="exact"/>
      <w:ind w:firstLineChars="200" w:firstLine="640"/>
      <w:textAlignment w:val="baseline"/>
    </w:pPr>
    <w:rPr>
      <w:rFonts w:ascii="黑体" w:eastAsia="黑体" w:hAnsi="黑体"/>
      <w:color w:val="000000"/>
      <w:szCs w:val="32"/>
    </w:rPr>
  </w:style>
  <w:style w:type="paragraph" w:styleId="ac">
    <w:name w:val="List Paragraph"/>
    <w:basedOn w:val="a"/>
    <w:uiPriority w:val="99"/>
    <w:unhideWhenUse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32614">
      <w:bodyDiv w:val="1"/>
      <w:marLeft w:val="0"/>
      <w:marRight w:val="0"/>
      <w:marTop w:val="0"/>
      <w:marBottom w:val="0"/>
      <w:divBdr>
        <w:top w:val="none" w:sz="0" w:space="0" w:color="auto"/>
        <w:left w:val="none" w:sz="0" w:space="0" w:color="auto"/>
        <w:bottom w:val="none" w:sz="0" w:space="0" w:color="auto"/>
        <w:right w:val="none" w:sz="0" w:space="0" w:color="auto"/>
      </w:divBdr>
    </w:div>
    <w:div w:id="164980211">
      <w:bodyDiv w:val="1"/>
      <w:marLeft w:val="0"/>
      <w:marRight w:val="0"/>
      <w:marTop w:val="0"/>
      <w:marBottom w:val="0"/>
      <w:divBdr>
        <w:top w:val="none" w:sz="0" w:space="0" w:color="auto"/>
        <w:left w:val="none" w:sz="0" w:space="0" w:color="auto"/>
        <w:bottom w:val="none" w:sz="0" w:space="0" w:color="auto"/>
        <w:right w:val="none" w:sz="0" w:space="0" w:color="auto"/>
      </w:divBdr>
    </w:div>
    <w:div w:id="401873045">
      <w:bodyDiv w:val="1"/>
      <w:marLeft w:val="0"/>
      <w:marRight w:val="0"/>
      <w:marTop w:val="0"/>
      <w:marBottom w:val="0"/>
      <w:divBdr>
        <w:top w:val="none" w:sz="0" w:space="0" w:color="auto"/>
        <w:left w:val="none" w:sz="0" w:space="0" w:color="auto"/>
        <w:bottom w:val="none" w:sz="0" w:space="0" w:color="auto"/>
        <w:right w:val="none" w:sz="0" w:space="0" w:color="auto"/>
      </w:divBdr>
    </w:div>
    <w:div w:id="803935365">
      <w:bodyDiv w:val="1"/>
      <w:marLeft w:val="0"/>
      <w:marRight w:val="0"/>
      <w:marTop w:val="0"/>
      <w:marBottom w:val="0"/>
      <w:divBdr>
        <w:top w:val="none" w:sz="0" w:space="0" w:color="auto"/>
        <w:left w:val="none" w:sz="0" w:space="0" w:color="auto"/>
        <w:bottom w:val="none" w:sz="0" w:space="0" w:color="auto"/>
        <w:right w:val="none" w:sz="0" w:space="0" w:color="auto"/>
      </w:divBdr>
    </w:div>
    <w:div w:id="21456591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1558</Words>
  <Characters>8887</Characters>
  <Application>Microsoft Office Word</Application>
  <DocSecurity>0</DocSecurity>
  <Lines>74</Lines>
  <Paragraphs>20</Paragraphs>
  <ScaleCrop>false</ScaleCrop>
  <Company/>
  <LinksUpToDate>false</LinksUpToDate>
  <CharactersWithSpaces>10425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XWB</dc:creator>
  <cp:lastModifiedBy>周丽华</cp:lastModifiedBy>
  <cp:revision>2</cp:revision>
  <cp:lastPrinted>2020-11-20T03:24:00Z</cp:lastPrinted>
  <dcterms:created xsi:type="dcterms:W3CDTF">2025-03-12T08:29:00Z</dcterms:created>
  <dcterms:modified xsi:type="dcterms:W3CDTF">2025-03-12T08:29:00Z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