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3E8" w:rsidRPr="002953E8" w:rsidRDefault="002953E8" w:rsidP="002953E8">
      <w:pPr>
        <w:spacing w:afterLines="50" w:after="156" w:line="560" w:lineRule="exact"/>
        <w:jc w:val="center"/>
        <w:rPr>
          <w:rFonts w:ascii="方正小标宋简体" w:eastAsia="方正小标宋简体" w:hAnsi="宋体" w:cs="Times New Roman"/>
          <w:b/>
          <w:sz w:val="52"/>
          <w:szCs w:val="52"/>
        </w:rPr>
      </w:pPr>
      <w:bookmarkStart w:id="0" w:name="_GoBack"/>
      <w:bookmarkEnd w:id="0"/>
    </w:p>
    <w:p w:rsidR="002953E8" w:rsidRPr="002953E8" w:rsidRDefault="002953E8" w:rsidP="002953E8">
      <w:pPr>
        <w:spacing w:afterLines="50" w:after="156" w:line="560" w:lineRule="exact"/>
        <w:jc w:val="center"/>
        <w:rPr>
          <w:rFonts w:ascii="方正小标宋简体" w:eastAsia="方正小标宋简体" w:hAnsi="宋体" w:cs="Times New Roman"/>
          <w:b/>
          <w:sz w:val="52"/>
          <w:szCs w:val="52"/>
        </w:rPr>
      </w:pPr>
    </w:p>
    <w:p w:rsidR="002953E8" w:rsidRPr="002953E8" w:rsidRDefault="00063458" w:rsidP="002953E8">
      <w:pPr>
        <w:spacing w:after="156" w:line="360" w:lineRule="auto"/>
        <w:jc w:val="center"/>
        <w:textAlignment w:val="baseline"/>
        <w:rPr>
          <w:rFonts w:ascii="Times New Roman" w:eastAsia="黑体" w:hAnsi="Times New Roman" w:cs="Times New Roman"/>
          <w:bCs/>
          <w:kern w:val="0"/>
          <w:sz w:val="44"/>
          <w:szCs w:val="44"/>
        </w:rPr>
      </w:pPr>
      <w:r w:rsidRPr="00063458">
        <w:rPr>
          <w:rFonts w:ascii="Times New Roman" w:eastAsia="黑体" w:hAnsi="Times New Roman" w:cs="Times New Roman" w:hint="eastAsia"/>
          <w:bCs/>
          <w:kern w:val="0"/>
          <w:sz w:val="44"/>
          <w:szCs w:val="44"/>
        </w:rPr>
        <w:t>学位授权点质量建设年度报告</w:t>
      </w:r>
    </w:p>
    <w:p w:rsidR="002953E8" w:rsidRPr="002953E8" w:rsidRDefault="002953E8" w:rsidP="002953E8">
      <w:pPr>
        <w:spacing w:after="156" w:line="360" w:lineRule="auto"/>
        <w:jc w:val="center"/>
        <w:textAlignment w:val="baseline"/>
        <w:rPr>
          <w:rFonts w:ascii="Times New Roman" w:eastAsia="宋体" w:hAnsi="Times New Roman" w:cs="Times New Roman"/>
          <w:bCs/>
          <w:kern w:val="0"/>
          <w:sz w:val="44"/>
          <w:szCs w:val="44"/>
        </w:rPr>
      </w:pPr>
      <w:r w:rsidRPr="002953E8">
        <w:rPr>
          <w:rFonts w:ascii="Times New Roman" w:eastAsia="宋体" w:hAnsi="Times New Roman" w:cs="Times New Roman" w:hint="eastAsia"/>
          <w:bCs/>
          <w:kern w:val="0"/>
          <w:sz w:val="44"/>
          <w:szCs w:val="44"/>
        </w:rPr>
        <w:t>（</w:t>
      </w:r>
      <w:r w:rsidRPr="002953E8">
        <w:rPr>
          <w:rFonts w:ascii="Times New Roman" w:eastAsia="宋体" w:hAnsi="Times New Roman" w:cs="Times New Roman" w:hint="eastAsia"/>
          <w:bCs/>
          <w:kern w:val="0"/>
          <w:sz w:val="44"/>
          <w:szCs w:val="44"/>
        </w:rPr>
        <w:t>2023</w:t>
      </w:r>
      <w:r w:rsidRPr="002953E8">
        <w:rPr>
          <w:rFonts w:ascii="Times New Roman" w:eastAsia="宋体" w:hAnsi="Times New Roman" w:cs="Times New Roman" w:hint="eastAsia"/>
          <w:bCs/>
          <w:kern w:val="0"/>
          <w:sz w:val="44"/>
          <w:szCs w:val="44"/>
        </w:rPr>
        <w:t>年）</w:t>
      </w:r>
    </w:p>
    <w:p w:rsidR="002953E8" w:rsidRPr="002953E8" w:rsidRDefault="002953E8" w:rsidP="002953E8">
      <w:pPr>
        <w:snapToGrid w:val="0"/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kern w:val="0"/>
          <w:sz w:val="48"/>
          <w:szCs w:val="20"/>
        </w:rPr>
      </w:pPr>
    </w:p>
    <w:p w:rsidR="002953E8" w:rsidRPr="002953E8" w:rsidRDefault="002953E8" w:rsidP="002953E8">
      <w:pPr>
        <w:snapToGrid w:val="0"/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kern w:val="0"/>
          <w:sz w:val="48"/>
          <w:szCs w:val="20"/>
        </w:rPr>
      </w:pPr>
    </w:p>
    <w:p w:rsidR="002953E8" w:rsidRPr="002953E8" w:rsidRDefault="002953E8" w:rsidP="002953E8">
      <w:pPr>
        <w:snapToGrid w:val="0"/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kern w:val="0"/>
          <w:sz w:val="32"/>
          <w:szCs w:val="32"/>
        </w:rPr>
      </w:pPr>
    </w:p>
    <w:tbl>
      <w:tblPr>
        <w:tblW w:w="5490" w:type="dxa"/>
        <w:jc w:val="center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"/>
        <w:gridCol w:w="3981"/>
      </w:tblGrid>
      <w:tr w:rsidR="002953E8" w:rsidRPr="002953E8" w:rsidTr="00E25E20">
        <w:trPr>
          <w:trHeight w:val="794"/>
          <w:jc w:val="center"/>
        </w:trPr>
        <w:tc>
          <w:tcPr>
            <w:tcW w:w="150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2953E8" w:rsidRPr="002953E8" w:rsidRDefault="002953E8" w:rsidP="002953E8">
            <w:pPr>
              <w:snapToGri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spacing w:val="-10"/>
                <w:kern w:val="0"/>
                <w:sz w:val="32"/>
                <w:szCs w:val="32"/>
              </w:rPr>
            </w:pPr>
            <w:r w:rsidRPr="002953E8">
              <w:rPr>
                <w:rFonts w:ascii="Times New Roman" w:eastAsia="宋体" w:hAnsi="Times New Roman" w:cs="Times New Roman"/>
                <w:b/>
                <w:spacing w:val="-10"/>
                <w:kern w:val="0"/>
                <w:sz w:val="32"/>
                <w:szCs w:val="32"/>
                <w14:ligatures w14:val="standardContextual"/>
              </w:rPr>
              <w:t>高校</w:t>
            </w:r>
          </w:p>
          <w:p w:rsidR="002953E8" w:rsidRPr="002953E8" w:rsidRDefault="002953E8" w:rsidP="002953E8">
            <w:pPr>
              <w:snapToGrid w:val="0"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spacing w:val="-10"/>
                <w:kern w:val="0"/>
                <w:sz w:val="32"/>
                <w:szCs w:val="32"/>
                <w14:ligatures w14:val="standardContextual"/>
              </w:rPr>
            </w:pPr>
            <w:r w:rsidRPr="002953E8">
              <w:rPr>
                <w:rFonts w:ascii="Times New Roman" w:eastAsia="宋体" w:hAnsi="Times New Roman" w:cs="Times New Roman"/>
                <w:b/>
                <w:spacing w:val="-10"/>
                <w:kern w:val="0"/>
                <w:sz w:val="32"/>
                <w:szCs w:val="32"/>
                <w14:ligatures w14:val="standardContextual"/>
              </w:rPr>
              <w:t>（公章）</w:t>
            </w:r>
          </w:p>
        </w:tc>
        <w:tc>
          <w:tcPr>
            <w:tcW w:w="3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53E8" w:rsidRPr="002953E8" w:rsidRDefault="002953E8" w:rsidP="002953E8">
            <w:pPr>
              <w:snapToGrid w:val="0"/>
              <w:spacing w:line="360" w:lineRule="auto"/>
              <w:textAlignment w:val="baseline"/>
              <w:rPr>
                <w:rFonts w:ascii="Times New Roman" w:eastAsia="宋体" w:hAnsi="Times New Roman" w:cs="Times New Roman"/>
                <w:b/>
                <w:spacing w:val="-10"/>
                <w:kern w:val="0"/>
                <w:sz w:val="32"/>
                <w:szCs w:val="32"/>
              </w:rPr>
            </w:pPr>
            <w:r w:rsidRPr="002953E8">
              <w:rPr>
                <w:rFonts w:ascii="Times New Roman" w:eastAsia="宋体" w:hAnsi="Times New Roman" w:cs="Times New Roman"/>
                <w:b/>
                <w:spacing w:val="-10"/>
                <w:kern w:val="0"/>
                <w:sz w:val="32"/>
                <w:szCs w:val="32"/>
                <w14:ligatures w14:val="standardContextual"/>
              </w:rPr>
              <w:t>名称：</w:t>
            </w:r>
            <w:r w:rsidRPr="002953E8">
              <w:rPr>
                <w:rFonts w:ascii="Times New Roman" w:eastAsia="宋体" w:hAnsi="Times New Roman" w:cs="Times New Roman" w:hint="eastAsia"/>
                <w:b/>
                <w:spacing w:val="-10"/>
                <w:kern w:val="0"/>
                <w:sz w:val="32"/>
                <w:szCs w:val="32"/>
                <w14:ligatures w14:val="standardContextual"/>
              </w:rPr>
              <w:t>国际商务</w:t>
            </w:r>
          </w:p>
        </w:tc>
      </w:tr>
      <w:tr w:rsidR="002953E8" w:rsidRPr="002953E8" w:rsidTr="00E25E20">
        <w:trPr>
          <w:trHeight w:val="794"/>
          <w:jc w:val="center"/>
        </w:trPr>
        <w:tc>
          <w:tcPr>
            <w:tcW w:w="150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2953E8" w:rsidRPr="002953E8" w:rsidRDefault="002953E8" w:rsidP="002953E8">
            <w:pPr>
              <w:widowControl/>
              <w:jc w:val="left"/>
              <w:rPr>
                <w:rFonts w:ascii="Times New Roman" w:eastAsia="宋体" w:hAnsi="Times New Roman" w:cs="Times New Roman"/>
                <w:b/>
                <w:spacing w:val="-10"/>
                <w:kern w:val="0"/>
                <w:sz w:val="32"/>
                <w:szCs w:val="32"/>
                <w14:ligatures w14:val="standardContextual"/>
              </w:rPr>
            </w:pP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2953E8" w:rsidRPr="002953E8" w:rsidRDefault="002953E8" w:rsidP="002953E8">
            <w:pPr>
              <w:snapToGrid w:val="0"/>
              <w:spacing w:line="360" w:lineRule="auto"/>
              <w:textAlignment w:val="baseline"/>
              <w:rPr>
                <w:rFonts w:ascii="Times New Roman" w:eastAsia="宋体" w:hAnsi="Times New Roman" w:cs="Times New Roman"/>
                <w:b/>
                <w:spacing w:val="-10"/>
                <w:kern w:val="0"/>
                <w:sz w:val="32"/>
                <w:szCs w:val="32"/>
              </w:rPr>
            </w:pPr>
            <w:r w:rsidRPr="002953E8">
              <w:rPr>
                <w:rFonts w:ascii="Times New Roman" w:eastAsia="宋体" w:hAnsi="Times New Roman" w:cs="Times New Roman"/>
                <w:b/>
                <w:spacing w:val="-10"/>
                <w:kern w:val="0"/>
                <w:sz w:val="32"/>
                <w:szCs w:val="32"/>
                <w14:ligatures w14:val="standardContextual"/>
              </w:rPr>
              <w:t>代码：</w:t>
            </w:r>
            <w:r w:rsidRPr="002953E8">
              <w:rPr>
                <w:rFonts w:ascii="Times New Roman" w:eastAsia="宋体" w:hAnsi="Times New Roman" w:cs="Times New Roman"/>
                <w:b/>
                <w:spacing w:val="-10"/>
                <w:kern w:val="0"/>
                <w:sz w:val="32"/>
                <w:szCs w:val="32"/>
                <w14:ligatures w14:val="standardContextual"/>
              </w:rPr>
              <w:t>025</w:t>
            </w:r>
            <w:r w:rsidRPr="002953E8">
              <w:rPr>
                <w:rFonts w:ascii="Times New Roman" w:eastAsia="宋体" w:hAnsi="Times New Roman" w:cs="Times New Roman" w:hint="eastAsia"/>
                <w:b/>
                <w:spacing w:val="-10"/>
                <w:kern w:val="0"/>
                <w:sz w:val="32"/>
                <w:szCs w:val="32"/>
                <w14:ligatures w14:val="standardContextual"/>
              </w:rPr>
              <w:t>4</w:t>
            </w:r>
          </w:p>
        </w:tc>
      </w:tr>
    </w:tbl>
    <w:p w:rsidR="002953E8" w:rsidRPr="002953E8" w:rsidRDefault="002953E8" w:rsidP="002953E8">
      <w:pPr>
        <w:snapToGrid w:val="0"/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kern w:val="0"/>
          <w:sz w:val="48"/>
          <w:szCs w:val="20"/>
        </w:rPr>
      </w:pPr>
    </w:p>
    <w:p w:rsidR="002953E8" w:rsidRPr="002953E8" w:rsidRDefault="002953E8" w:rsidP="002953E8">
      <w:pPr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kern w:val="0"/>
          <w:sz w:val="30"/>
          <w:szCs w:val="30"/>
        </w:rPr>
      </w:pPr>
    </w:p>
    <w:p w:rsidR="002953E8" w:rsidRPr="002953E8" w:rsidRDefault="002953E8" w:rsidP="002953E8">
      <w:pPr>
        <w:widowControl/>
        <w:spacing w:line="360" w:lineRule="auto"/>
        <w:ind w:firstLineChars="200" w:firstLine="640"/>
        <w:rPr>
          <w:rFonts w:ascii="Times New Roman" w:eastAsia="宋体" w:hAnsi="Times New Roman" w:cs="Times New Roman"/>
          <w:kern w:val="0"/>
          <w:sz w:val="32"/>
          <w:szCs w:val="24"/>
        </w:rPr>
      </w:pPr>
    </w:p>
    <w:p w:rsidR="002953E8" w:rsidRPr="002953E8" w:rsidRDefault="002953E8" w:rsidP="002953E8">
      <w:pPr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kern w:val="0"/>
          <w:sz w:val="30"/>
          <w:szCs w:val="30"/>
        </w:rPr>
      </w:pPr>
    </w:p>
    <w:p w:rsidR="002953E8" w:rsidRPr="002953E8" w:rsidRDefault="002953E8" w:rsidP="002953E8">
      <w:pPr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kern w:val="0"/>
          <w:sz w:val="32"/>
          <w:szCs w:val="32"/>
        </w:rPr>
      </w:pPr>
    </w:p>
    <w:p w:rsidR="002953E8" w:rsidRPr="002953E8" w:rsidRDefault="002953E8" w:rsidP="002953E8">
      <w:pPr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kern w:val="0"/>
          <w:sz w:val="32"/>
          <w:szCs w:val="32"/>
        </w:rPr>
      </w:pPr>
    </w:p>
    <w:p w:rsidR="002953E8" w:rsidRPr="002953E8" w:rsidRDefault="002953E8" w:rsidP="002953E8">
      <w:pPr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kern w:val="0"/>
          <w:sz w:val="32"/>
          <w:szCs w:val="32"/>
        </w:rPr>
      </w:pPr>
      <w:r w:rsidRPr="002953E8">
        <w:rPr>
          <w:rFonts w:ascii="Times New Roman" w:eastAsia="宋体" w:hAnsi="Times New Roman" w:cs="Times New Roman"/>
          <w:b/>
          <w:kern w:val="0"/>
          <w:sz w:val="32"/>
          <w:szCs w:val="32"/>
        </w:rPr>
        <w:t>2024</w:t>
      </w:r>
      <w:r w:rsidRPr="002953E8">
        <w:rPr>
          <w:rFonts w:ascii="Times New Roman" w:eastAsia="宋体" w:hAnsi="Times New Roman" w:cs="Times New Roman"/>
          <w:b/>
          <w:kern w:val="0"/>
          <w:sz w:val="32"/>
          <w:szCs w:val="32"/>
        </w:rPr>
        <w:t>年</w:t>
      </w:r>
      <w:r w:rsidRPr="002953E8">
        <w:rPr>
          <w:rFonts w:ascii="Times New Roman" w:eastAsia="宋体" w:hAnsi="Times New Roman" w:cs="Times New Roman"/>
          <w:b/>
          <w:kern w:val="0"/>
          <w:sz w:val="32"/>
          <w:szCs w:val="32"/>
        </w:rPr>
        <w:t>3</w:t>
      </w:r>
      <w:r w:rsidRPr="002953E8">
        <w:rPr>
          <w:rFonts w:ascii="Times New Roman" w:eastAsia="宋体" w:hAnsi="Times New Roman" w:cs="Times New Roman"/>
          <w:b/>
          <w:kern w:val="0"/>
          <w:sz w:val="32"/>
          <w:szCs w:val="32"/>
        </w:rPr>
        <w:t>月</w:t>
      </w:r>
      <w:r w:rsidRPr="002953E8">
        <w:rPr>
          <w:rFonts w:ascii="Times New Roman" w:eastAsia="宋体" w:hAnsi="Times New Roman" w:cs="Times New Roman"/>
          <w:b/>
          <w:kern w:val="0"/>
          <w:sz w:val="32"/>
          <w:szCs w:val="32"/>
        </w:rPr>
        <w:t>6</w:t>
      </w:r>
      <w:r w:rsidRPr="002953E8">
        <w:rPr>
          <w:rFonts w:ascii="Times New Roman" w:eastAsia="宋体" w:hAnsi="Times New Roman" w:cs="Times New Roman"/>
          <w:b/>
          <w:kern w:val="0"/>
          <w:sz w:val="32"/>
          <w:szCs w:val="32"/>
        </w:rPr>
        <w:t>日</w:t>
      </w:r>
    </w:p>
    <w:p w:rsidR="002953E8" w:rsidRPr="002953E8" w:rsidRDefault="002953E8" w:rsidP="002953E8">
      <w:pPr>
        <w:spacing w:line="300" w:lineRule="auto"/>
        <w:jc w:val="center"/>
        <w:textAlignment w:val="baseline"/>
        <w:rPr>
          <w:rFonts w:ascii="黑体" w:eastAsia="黑体" w:hAnsi="黑体" w:cs="Times New Roman"/>
          <w:sz w:val="32"/>
          <w:szCs w:val="32"/>
        </w:rPr>
        <w:sectPr w:rsidR="002953E8" w:rsidRPr="002953E8">
          <w:footerReference w:type="default" r:id="rId8"/>
          <w:pgSz w:w="11906" w:h="16838"/>
          <w:pgMar w:top="1417" w:right="1587" w:bottom="1417" w:left="1474" w:header="851" w:footer="992" w:gutter="0"/>
          <w:pgNumType w:start="1"/>
          <w:cols w:space="425"/>
          <w:docGrid w:type="lines" w:linePitch="312"/>
        </w:sectPr>
      </w:pPr>
    </w:p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lastRenderedPageBreak/>
        <w:t>一、总体概况</w:t>
      </w:r>
    </w:p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（一）学位授权点基本情况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bookmarkStart w:id="1" w:name="OLE_LINK3"/>
      <w:r w:rsidRPr="002953E8">
        <w:rPr>
          <w:rFonts w:ascii="仿宋_GB2312" w:eastAsia="仿宋_GB2312" w:hAnsi="宋体" w:cs="Times New Roman" w:hint="eastAsia"/>
          <w:sz w:val="28"/>
          <w:szCs w:val="28"/>
        </w:rPr>
        <w:t>为了适应经济全球化和国家开放与发展的需要，并秉承“始有暨南，便有商科”的初衷，暨南大学于2011年设立国际商务专业硕士学位授权点。该专业旨在培养高水平、应用型、多元化的国际商务专业人才。特色鲜明的“侨校特色”贯穿始终，注重课程教学并强调实践教学，致力于培养学生的实践能力。本专业向港澳台地区和“一带一路”沿线国家输送了大量优秀国际商务人才，实现了学科建设与国家政策的有机结合。</w:t>
      </w:r>
    </w:p>
    <w:bookmarkEnd w:id="1"/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（二）研究生招生、在读、毕业、学位授予及就业基本状况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1.招生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202</w:t>
      </w:r>
      <w:r w:rsidRPr="002953E8">
        <w:rPr>
          <w:rFonts w:ascii="仿宋_GB2312" w:eastAsia="仿宋_GB2312" w:hAnsi="宋体" w:cs="Times New Roman"/>
          <w:sz w:val="28"/>
          <w:szCs w:val="28"/>
        </w:rPr>
        <w:t>3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年本学科共招收全日制硕士研究生42人，其中境内研究生32人，境外研究生10人。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2.在读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本学科现有在读研究生83人，其中境内研究生62人，境外研究生21人。境外研究生中有港澳台学生17人。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3.毕业学位授予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本年度本学科共授予硕士专业学位37人。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4.就业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本年度本学科毕业人数</w:t>
      </w:r>
      <w:r w:rsidRPr="002953E8">
        <w:rPr>
          <w:rFonts w:ascii="仿宋_GB2312" w:eastAsia="仿宋_GB2312" w:hAnsi="宋体" w:cs="Times New Roman"/>
          <w:sz w:val="28"/>
          <w:szCs w:val="28"/>
        </w:rPr>
        <w:t>37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人，就业率为</w:t>
      </w:r>
      <w:r w:rsidRPr="002953E8">
        <w:rPr>
          <w:rFonts w:ascii="仿宋_GB2312" w:eastAsia="仿宋_GB2312" w:hAnsi="宋体" w:cs="Times New Roman"/>
          <w:sz w:val="28"/>
          <w:szCs w:val="28"/>
        </w:rPr>
        <w:t>100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%。从就业单位类型来看，约</w:t>
      </w:r>
      <w:r w:rsidRPr="002953E8">
        <w:rPr>
          <w:rFonts w:ascii="仿宋_GB2312" w:eastAsia="仿宋_GB2312" w:hAnsi="宋体" w:cs="Times New Roman"/>
          <w:sz w:val="28"/>
          <w:szCs w:val="28"/>
        </w:rPr>
        <w:t>9.38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%的毕业生选择进入政府机关或事业单位，约</w:t>
      </w:r>
      <w:r w:rsidRPr="002953E8">
        <w:rPr>
          <w:rFonts w:ascii="仿宋_GB2312" w:eastAsia="仿宋_GB2312" w:hAnsi="宋体" w:cs="Times New Roman"/>
          <w:sz w:val="28"/>
          <w:szCs w:val="28"/>
        </w:rPr>
        <w:t>87.5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%的毕业生选择进入国有企业、三资企业和民营企业等各类企业，另有</w:t>
      </w:r>
      <w:r w:rsidRPr="002953E8">
        <w:rPr>
          <w:rFonts w:ascii="仿宋_GB2312" w:eastAsia="仿宋_GB2312" w:hAnsi="宋体" w:cs="Times New Roman"/>
          <w:sz w:val="28"/>
          <w:szCs w:val="28"/>
        </w:rPr>
        <w:lastRenderedPageBreak/>
        <w:t>3.31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%的毕业生选择进入其他单位。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毕业生从事跨国性业务匹配度达</w:t>
      </w:r>
      <w:r w:rsidRPr="002953E8">
        <w:rPr>
          <w:rFonts w:ascii="仿宋_GB2312" w:eastAsia="仿宋_GB2312" w:hAnsi="宋体" w:cs="Times New Roman"/>
          <w:sz w:val="28"/>
          <w:szCs w:val="28"/>
        </w:rPr>
        <w:t>28.13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%以上，从事经贸与金融服务的行业匹配性达</w:t>
      </w:r>
      <w:r w:rsidRPr="002953E8">
        <w:rPr>
          <w:rFonts w:ascii="仿宋_GB2312" w:eastAsia="仿宋_GB2312" w:hAnsi="宋体" w:cs="Times New Roman"/>
          <w:sz w:val="28"/>
          <w:szCs w:val="28"/>
        </w:rPr>
        <w:t>65.63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%，企业的用工满意度良好。根据用人单位满意度问卷调查，有</w:t>
      </w:r>
      <w:r w:rsidRPr="002953E8">
        <w:rPr>
          <w:rFonts w:ascii="仿宋_GB2312" w:eastAsia="仿宋_GB2312" w:hAnsi="宋体" w:cs="Times New Roman"/>
          <w:sz w:val="28"/>
          <w:szCs w:val="28"/>
        </w:rPr>
        <w:t>100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%用人单位认为我校毕业生在工作中能当大任，非常愿意招聘我校毕业生；100%的用人单位都对我校毕业生的道德素养表示满意。</w:t>
      </w:r>
    </w:p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（三）研究生导师状况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1.校内导师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本学科共有全职研究生导师</w:t>
      </w:r>
      <w:r w:rsidRPr="002953E8">
        <w:rPr>
          <w:rFonts w:ascii="仿宋_GB2312" w:eastAsia="仿宋_GB2312" w:hAnsi="宋体" w:cs="Times New Roman"/>
          <w:sz w:val="28"/>
          <w:szCs w:val="28"/>
        </w:rPr>
        <w:t>22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人。学历结构上，研究生导师中具有博士学位人数为</w:t>
      </w:r>
      <w:r w:rsidRPr="002953E8">
        <w:rPr>
          <w:rFonts w:ascii="仿宋_GB2312" w:eastAsia="仿宋_GB2312" w:hAnsi="宋体" w:cs="Times New Roman"/>
          <w:sz w:val="28"/>
          <w:szCs w:val="28"/>
        </w:rPr>
        <w:t>22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人，</w:t>
      </w:r>
      <w:r w:rsidRPr="002953E8">
        <w:rPr>
          <w:rFonts w:ascii="仿宋_GB2312" w:eastAsia="仿宋_GB2312" w:hAnsi="宋体" w:cs="Times New Roman"/>
          <w:sz w:val="28"/>
          <w:szCs w:val="28"/>
        </w:rPr>
        <w:t>70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%以上的教师具有海外深造的经历。职称结构上，研究生导师中正高职称</w:t>
      </w:r>
      <w:r w:rsidRPr="002953E8">
        <w:rPr>
          <w:rFonts w:ascii="仿宋_GB2312" w:eastAsia="仿宋_GB2312" w:hAnsi="宋体" w:cs="Times New Roman"/>
          <w:sz w:val="28"/>
          <w:szCs w:val="28"/>
        </w:rPr>
        <w:t>7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人，副高职称</w:t>
      </w:r>
      <w:r w:rsidRPr="002953E8">
        <w:rPr>
          <w:rFonts w:ascii="仿宋_GB2312" w:eastAsia="仿宋_GB2312" w:hAnsi="宋体" w:cs="Times New Roman"/>
          <w:sz w:val="28"/>
          <w:szCs w:val="28"/>
        </w:rPr>
        <w:t>13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人，讲师2人。年龄结构上，研究生导师中46-60岁人数为</w:t>
      </w:r>
      <w:r w:rsidRPr="002953E8">
        <w:rPr>
          <w:rFonts w:ascii="仿宋_GB2312" w:eastAsia="仿宋_GB2312" w:hAnsi="宋体" w:cs="Times New Roman"/>
          <w:sz w:val="28"/>
          <w:szCs w:val="28"/>
        </w:rPr>
        <w:t>19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人，36-45岁人数为</w:t>
      </w:r>
      <w:r w:rsidRPr="002953E8">
        <w:rPr>
          <w:rFonts w:ascii="仿宋_GB2312" w:eastAsia="仿宋_GB2312" w:hAnsi="宋体" w:cs="Times New Roman"/>
          <w:sz w:val="28"/>
          <w:szCs w:val="28"/>
        </w:rPr>
        <w:t>1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人。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2.校外导师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此外，本学科实行学术实践“双导师”模式，聘请一批实践经验丰富的企业高级管理人员、政府公务人员、国内外著名专家担任兼职实践导师</w:t>
      </w:r>
      <w:r w:rsidRPr="002953E8">
        <w:rPr>
          <w:rFonts w:ascii="仿宋_GB2312" w:eastAsia="仿宋_GB2312" w:hAnsi="Calibri" w:cs="Times New Roman" w:hint="eastAsia"/>
          <w:sz w:val="28"/>
          <w:szCs w:val="28"/>
        </w:rPr>
        <w:t>，人均工作年限在</w:t>
      </w:r>
      <w:r w:rsidRPr="002953E8">
        <w:rPr>
          <w:rFonts w:ascii="仿宋_GB2312" w:eastAsia="仿宋_GB2312" w:hAnsi="Calibri" w:cs="Times New Roman"/>
          <w:sz w:val="28"/>
          <w:szCs w:val="28"/>
        </w:rPr>
        <w:t>10</w:t>
      </w:r>
      <w:r w:rsidRPr="002953E8">
        <w:rPr>
          <w:rFonts w:ascii="仿宋_GB2312" w:eastAsia="仿宋_GB2312" w:hAnsi="Calibri" w:cs="Times New Roman" w:hint="eastAsia"/>
          <w:sz w:val="28"/>
          <w:szCs w:val="28"/>
        </w:rPr>
        <w:t>年以上。</w:t>
      </w:r>
    </w:p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二、研究生党建与思想政治教育工作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本学科全面落实教育部“三全育人”改革部署,为学科建设立心,为人才培养铸魂，践行社会主义大学育人使命。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（一）党委全面领导，强调意识形态主导权，充分发挥基层党组织和共产党员的作用。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lastRenderedPageBreak/>
        <w:t>（二）教师、管理人员、校友和家长协调联动，推进思政工作融入课堂教学，培育学生正确的人生观和价值观。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（三）专业教育中融入社会主义核心价值观，通过实践学习和社会实践活动培养学生道德修养和社会责任感。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（四）校园文化建设注重多元共融，针对不同类型学生特点，培养学生的爱国情怀和国际视野。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（五）建立完善的研究生教育管理体系和综合服务平台，关注学生的思想状况和生活需求，丰富学生的课余生活。</w:t>
      </w:r>
    </w:p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三、研究生培养相关制度及执行情况</w:t>
      </w:r>
    </w:p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（一）课程建设与实施情况</w:t>
      </w:r>
    </w:p>
    <w:p w:rsidR="002953E8" w:rsidRPr="002953E8" w:rsidRDefault="002953E8" w:rsidP="002953E8">
      <w:pPr>
        <w:numPr>
          <w:ilvl w:val="0"/>
          <w:numId w:val="1"/>
        </w:numPr>
        <w:spacing w:line="276" w:lineRule="auto"/>
        <w:jc w:val="left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国际商务硕士专业学位旨在培养适应经济全球化趋势、具备专</w:t>
      </w:r>
    </w:p>
    <w:p w:rsidR="002953E8" w:rsidRPr="002953E8" w:rsidRDefault="002953E8" w:rsidP="002953E8">
      <w:pPr>
        <w:spacing w:line="276" w:lineRule="auto"/>
        <w:jc w:val="left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业能力和职业素养的高层次应用型专业人才。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本专业</w:t>
      </w:r>
      <w:r w:rsidRPr="002953E8">
        <w:rPr>
          <w:rFonts w:ascii="仿宋_GB2312" w:eastAsia="仿宋_GB2312" w:hAnsi="宋体" w:cs="Times New Roman"/>
          <w:sz w:val="28"/>
          <w:szCs w:val="28"/>
        </w:rPr>
        <w:t>提供29门专业学位课程，涵盖国际投资管理、商务谈判、专业英语等内容。</w:t>
      </w:r>
    </w:p>
    <w:p w:rsidR="002953E8" w:rsidRPr="002953E8" w:rsidRDefault="002953E8" w:rsidP="002953E8">
      <w:pPr>
        <w:numPr>
          <w:ilvl w:val="0"/>
          <w:numId w:val="1"/>
        </w:numPr>
        <w:spacing w:line="276" w:lineRule="auto"/>
        <w:jc w:val="left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以国际视角为基础，紧扣粤港澳大湾区发展，注重国际化办学</w:t>
      </w:r>
    </w:p>
    <w:p w:rsidR="002953E8" w:rsidRPr="002953E8" w:rsidRDefault="002953E8" w:rsidP="002953E8">
      <w:pPr>
        <w:spacing w:line="276" w:lineRule="auto"/>
        <w:jc w:val="left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特色和中外课程融合，培养具有国际化视野和跨文化沟通技巧的国际商务人才。多元文化背景的学生群体为学习提供了国际化环境。</w:t>
      </w:r>
    </w:p>
    <w:p w:rsidR="002953E8" w:rsidRPr="002953E8" w:rsidRDefault="002953E8" w:rsidP="002953E8">
      <w:pPr>
        <w:numPr>
          <w:ilvl w:val="0"/>
          <w:numId w:val="1"/>
        </w:numPr>
        <w:spacing w:line="276" w:lineRule="auto"/>
        <w:jc w:val="left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国际商务专业秉持实践创新传统，紧密关联市场需求。教师结</w:t>
      </w:r>
    </w:p>
    <w:p w:rsidR="002953E8" w:rsidRPr="002953E8" w:rsidRDefault="002953E8" w:rsidP="002953E8">
      <w:pPr>
        <w:spacing w:line="276" w:lineRule="auto"/>
        <w:jc w:val="left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合实际企业情况，将理论与实践相结合，推动教学改革并提升教学质量。加强企业实践培训，确保毕业生满足社会行业发展和企业需求。</w:t>
      </w:r>
    </w:p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（二）导师选拔培训</w:t>
      </w:r>
    </w:p>
    <w:p w:rsidR="002953E8" w:rsidRPr="002953E8" w:rsidRDefault="002953E8" w:rsidP="002953E8">
      <w:pPr>
        <w:numPr>
          <w:ilvl w:val="0"/>
          <w:numId w:val="2"/>
        </w:numPr>
        <w:spacing w:line="276" w:lineRule="auto"/>
        <w:jc w:val="left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强化对导师综合素质的考察，建立综合素质考察体系，包括思</w:t>
      </w:r>
    </w:p>
    <w:p w:rsidR="002953E8" w:rsidRPr="002953E8" w:rsidRDefault="002953E8" w:rsidP="002953E8">
      <w:pPr>
        <w:spacing w:line="276" w:lineRule="auto"/>
        <w:jc w:val="left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想政治素质和道德修养等方面。通过集中讨论、问卷调查和谈话等方式全面评估准导师，不合格情况暂缓其导师资格。</w:t>
      </w:r>
    </w:p>
    <w:p w:rsidR="002953E8" w:rsidRPr="002953E8" w:rsidRDefault="002953E8" w:rsidP="002953E8">
      <w:pPr>
        <w:numPr>
          <w:ilvl w:val="0"/>
          <w:numId w:val="2"/>
        </w:numPr>
        <w:spacing w:line="276" w:lineRule="auto"/>
        <w:jc w:val="left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完善导师定期考核机制，除学生中期考核外，对导师也进行定</w:t>
      </w:r>
    </w:p>
    <w:p w:rsidR="002953E8" w:rsidRPr="002953E8" w:rsidRDefault="002953E8" w:rsidP="002953E8">
      <w:pPr>
        <w:spacing w:line="276" w:lineRule="auto"/>
        <w:jc w:val="left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期考核。考核内容包括对研究生指导情况和完成学术任务所需条件的评估，定期考核有助于督促导师履行职责。</w:t>
      </w:r>
    </w:p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（三）师德师风建设情况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1</w:t>
      </w:r>
      <w:r w:rsidRPr="002953E8">
        <w:rPr>
          <w:rFonts w:ascii="仿宋_GB2312" w:eastAsia="仿宋_GB2312" w:hAnsi="宋体" w:cs="Times New Roman"/>
          <w:sz w:val="28"/>
          <w:szCs w:val="28"/>
        </w:rPr>
        <w:t>.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建设机制</w:t>
      </w:r>
    </w:p>
    <w:p w:rsidR="002953E8" w:rsidRPr="002953E8" w:rsidRDefault="002953E8" w:rsidP="002953E8">
      <w:pPr>
        <w:spacing w:line="276" w:lineRule="auto"/>
        <w:ind w:firstLineChars="100" w:firstLine="28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</w:t>
      </w:r>
      <w:r w:rsidRPr="002953E8">
        <w:rPr>
          <w:rFonts w:ascii="仿宋_GB2312" w:eastAsia="仿宋_GB2312" w:hAnsi="宋体" w:cs="Times New Roman"/>
          <w:sz w:val="28"/>
          <w:szCs w:val="28"/>
        </w:rPr>
        <w:t>1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）</w:t>
      </w:r>
      <w:r w:rsidRPr="002953E8">
        <w:rPr>
          <w:rFonts w:ascii="仿宋_GB2312" w:eastAsia="仿宋_GB2312" w:hAnsi="宋体" w:cs="Times New Roman"/>
          <w:sz w:val="28"/>
          <w:szCs w:val="28"/>
        </w:rPr>
        <w:t>强化师德建设，以习近平新时代中国特色社会主义思想为指导，确立师德师风第一标准。建章立制，完善师德师风规章制度体系，将师德师风贯穿于教师职业发展全过程。</w:t>
      </w:r>
    </w:p>
    <w:p w:rsidR="002953E8" w:rsidRPr="002953E8" w:rsidRDefault="002953E8" w:rsidP="002953E8">
      <w:pPr>
        <w:spacing w:line="276" w:lineRule="auto"/>
        <w:ind w:firstLineChars="100" w:firstLine="28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（2）</w:t>
      </w:r>
      <w:r w:rsidRPr="002953E8">
        <w:rPr>
          <w:rFonts w:ascii="仿宋_GB2312" w:eastAsia="仿宋_GB2312" w:hAnsi="宋体" w:cs="Times New Roman"/>
          <w:sz w:val="28"/>
          <w:szCs w:val="28"/>
        </w:rPr>
        <w:t>加强党建工作，提升师品教风。强化教师党支部建设，培育</w:t>
      </w:r>
      <w:r w:rsidRPr="002953E8">
        <w:rPr>
          <w:rFonts w:ascii="仿宋_GB2312" w:eastAsia="仿宋_GB2312" w:hAnsi="宋体" w:cs="Times New Roman"/>
          <w:sz w:val="28"/>
          <w:szCs w:val="28"/>
        </w:rPr>
        <w:t>“</w:t>
      </w:r>
      <w:r w:rsidRPr="002953E8">
        <w:rPr>
          <w:rFonts w:ascii="仿宋_GB2312" w:eastAsia="仿宋_GB2312" w:hAnsi="宋体" w:cs="Times New Roman"/>
          <w:sz w:val="28"/>
          <w:szCs w:val="28"/>
        </w:rPr>
        <w:t>双带头人</w:t>
      </w:r>
      <w:r w:rsidRPr="002953E8">
        <w:rPr>
          <w:rFonts w:ascii="仿宋_GB2312" w:eastAsia="仿宋_GB2312" w:hAnsi="宋体" w:cs="Times New Roman"/>
          <w:sz w:val="28"/>
          <w:szCs w:val="28"/>
        </w:rPr>
        <w:t>”</w:t>
      </w:r>
      <w:r w:rsidRPr="002953E8">
        <w:rPr>
          <w:rFonts w:ascii="仿宋_GB2312" w:eastAsia="仿宋_GB2312" w:hAnsi="宋体" w:cs="Times New Roman"/>
          <w:sz w:val="28"/>
          <w:szCs w:val="28"/>
        </w:rPr>
        <w:t>教师党支部书记示范引领作用。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教工党支部结合专业特点组织主题讨论活动，分别就“新老传承”“党建引领高质量学科建设”展开讨论。</w:t>
      </w:r>
    </w:p>
    <w:p w:rsidR="002953E8" w:rsidRPr="002953E8" w:rsidRDefault="002953E8" w:rsidP="002953E8">
      <w:pPr>
        <w:spacing w:line="276" w:lineRule="auto"/>
        <w:ind w:firstLineChars="100" w:firstLine="28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</w:t>
      </w:r>
      <w:r w:rsidRPr="002953E8">
        <w:rPr>
          <w:rFonts w:ascii="仿宋_GB2312" w:eastAsia="仿宋_GB2312" w:hAnsi="宋体" w:cs="Times New Roman"/>
          <w:sz w:val="28"/>
          <w:szCs w:val="28"/>
        </w:rPr>
        <w:t>3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）</w:t>
      </w:r>
      <w:r w:rsidRPr="002953E8">
        <w:rPr>
          <w:rFonts w:ascii="仿宋_GB2312" w:eastAsia="仿宋_GB2312" w:hAnsi="宋体" w:cs="Times New Roman"/>
          <w:sz w:val="28"/>
          <w:szCs w:val="28"/>
        </w:rPr>
        <w:t>塑造高尚师德文化氛围，传承师德榜样力量。设立特殊贡献奖、奖教金等激励措施，加强师生之间的互动与交流，提升教师幸福感和成就感。</w:t>
      </w:r>
    </w:p>
    <w:p w:rsidR="002953E8" w:rsidRPr="002953E8" w:rsidRDefault="002953E8" w:rsidP="002953E8">
      <w:pPr>
        <w:spacing w:line="276" w:lineRule="auto"/>
        <w:ind w:firstLineChars="100" w:firstLine="28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（4）</w:t>
      </w:r>
      <w:r w:rsidRPr="002953E8">
        <w:rPr>
          <w:rFonts w:ascii="仿宋_GB2312" w:eastAsia="仿宋_GB2312" w:hAnsi="宋体" w:cs="Times New Roman"/>
          <w:sz w:val="28"/>
          <w:szCs w:val="28"/>
        </w:rPr>
        <w:t>注重培养学习，提升教师马克思主义理论素养，深入学习中华优秀传统文化。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2.建设成效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本专业教师主持的党建课题《在高校高层次人才中发展党员路径研究》中被评为广东省党的建设研究会2022年度自选课题优秀奖。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在中美贸易摩擦加剧的背景下，本专业教师积极开展国家级课题研究和学术论文发表，包括国家社科基金重大项目《贸易壁垒下突破性创新政策体系构建研究》、重点项目《中国加工贸易绿色利益模型构建及对策研究》以及国家社科基金后期资助项目《区域发展政策的经济与环境效应研究》等。</w:t>
      </w:r>
    </w:p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（四）学术交流情况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为提高学术研究水平和培养国际竞争力的商务专才，本专业积极推动国际学术交流活动，鼓励资助研究生参与重要国际学术会议，并定期邀请国外知名专家学者为研究生开设讲座，分享最新研究成果和未来发展趋势。在国际学术交流项目的申请、组织和选拔中，学院遵循公开、公正、公平的原则，通过发布通知、学科组评审、网站公示等流程确保信息透明和程序公开。</w:t>
      </w:r>
    </w:p>
    <w:p w:rsidR="002953E8" w:rsidRPr="002953E8" w:rsidRDefault="002953E8" w:rsidP="002953E8">
      <w:pPr>
        <w:spacing w:line="276" w:lineRule="auto"/>
        <w:ind w:firstLineChars="200" w:firstLine="562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（五）研究生奖助情况</w:t>
      </w:r>
    </w:p>
    <w:p w:rsidR="002953E8" w:rsidRPr="002953E8" w:rsidRDefault="002953E8" w:rsidP="002953E8">
      <w:pPr>
        <w:spacing w:line="276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本学科形成了较为完善的研究生奖助学金体系，覆盖全体研究生。</w:t>
      </w:r>
    </w:p>
    <w:p w:rsidR="002953E8" w:rsidRPr="002953E8" w:rsidRDefault="002953E8" w:rsidP="002953E8">
      <w:pPr>
        <w:widowControl/>
        <w:spacing w:line="276" w:lineRule="auto"/>
        <w:textAlignment w:val="baseline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四、研究生教育改革情况</w:t>
      </w:r>
    </w:p>
    <w:p w:rsidR="002953E8" w:rsidRPr="002953E8" w:rsidRDefault="002953E8" w:rsidP="002953E8">
      <w:pPr>
        <w:spacing w:line="276" w:lineRule="auto"/>
        <w:outlineLvl w:val="2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（一）人才培养方案情况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为提高培养方案的规范性和可行性，强调课程教学、实践教学，并建立“双师制”导师队伍。加强教学部门与实践部门联系，推行合作培养原则，联合政府和企业开展实习与教学。根据社会需求和学科支撑情况优化教学，明确就业领域和竞争优势。同时，保障培养目标，重视国际商务与侨校特色融合发展，紧密围绕实际问题进行实践和研究。确保毕业生行业适应度高，符合市场需求，提升用工满意度。</w:t>
      </w:r>
    </w:p>
    <w:p w:rsidR="002953E8" w:rsidRPr="002953E8" w:rsidRDefault="002953E8" w:rsidP="002953E8">
      <w:pPr>
        <w:spacing w:line="276" w:lineRule="auto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（二）导师队伍建设特色情况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通过健全导师队伍管理体制，派遣教师参与国际交流项目，建立全面考核评价机制，深入推进</w:t>
      </w:r>
      <w:r w:rsidRPr="002953E8">
        <w:rPr>
          <w:rFonts w:ascii="仿宋_GB2312" w:eastAsia="仿宋_GB2312" w:hAnsi="宋体" w:cs="Times New Roman"/>
          <w:sz w:val="28"/>
          <w:szCs w:val="28"/>
        </w:rPr>
        <w:t>“</w:t>
      </w:r>
      <w:r w:rsidRPr="002953E8">
        <w:rPr>
          <w:rFonts w:ascii="仿宋_GB2312" w:eastAsia="仿宋_GB2312" w:hAnsi="宋体" w:cs="Times New Roman"/>
          <w:sz w:val="28"/>
          <w:szCs w:val="28"/>
        </w:rPr>
        <w:t>双带头人</w:t>
      </w:r>
      <w:r w:rsidRPr="002953E8">
        <w:rPr>
          <w:rFonts w:ascii="仿宋_GB2312" w:eastAsia="仿宋_GB2312" w:hAnsi="宋体" w:cs="Times New Roman"/>
          <w:sz w:val="28"/>
          <w:szCs w:val="28"/>
        </w:rPr>
        <w:t>”</w:t>
      </w:r>
      <w:r w:rsidRPr="002953E8">
        <w:rPr>
          <w:rFonts w:ascii="仿宋_GB2312" w:eastAsia="仿宋_GB2312" w:hAnsi="宋体" w:cs="Times New Roman"/>
          <w:sz w:val="28"/>
          <w:szCs w:val="28"/>
        </w:rPr>
        <w:t>工程，提升导师的思政育人能力和完善长效机制，全面加强了导师队伍建设。</w:t>
      </w:r>
    </w:p>
    <w:p w:rsidR="002953E8" w:rsidRPr="002953E8" w:rsidRDefault="002953E8" w:rsidP="002953E8">
      <w:pPr>
        <w:spacing w:line="276" w:lineRule="auto"/>
        <w:outlineLvl w:val="2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（三）课程体系建设情况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课程涵盖国际商务、商务谈判、专业英语等内容。秉承务实创新传统，强调市场需求导向，注重国际化办学特色与中国特色融合，着力培养具有国际化视野和跨文化沟通技巧的国际商务人才。依托地缘和侨校优势，以粤港澳大湾区发展为导向，促进教学改革和师资提升，加强企业实践培训，致力于培养更符合社会行业需求的人才。</w:t>
      </w:r>
    </w:p>
    <w:p w:rsidR="002953E8" w:rsidRPr="002953E8" w:rsidRDefault="002953E8" w:rsidP="002953E8">
      <w:pPr>
        <w:spacing w:line="276" w:lineRule="auto"/>
        <w:outlineLvl w:val="2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（四）教学案例使用和开发情况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本专业教师积极投入案例教学的开发与应用，加强内外沟通，广泛搜集案源，精心筛选案例并关注代表性案例。同时注重结合国际经典案例，使教学更贴近国际化水准。本专业教师撰写的教学案例《千云入驻印尼:如何破解文化障碍?》入选“全国国际商务专业学位研究生教育指导委员会示范案例入库”。</w:t>
      </w:r>
    </w:p>
    <w:p w:rsidR="002953E8" w:rsidRPr="002953E8" w:rsidRDefault="002953E8" w:rsidP="002953E8">
      <w:pPr>
        <w:spacing w:line="276" w:lineRule="auto"/>
        <w:outlineLvl w:val="2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（五）专业实践情况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本专业探索集中实习与分散实习相结合，与多家校外实习基地合作构建实践教学体系，毕业生就业率100%。建立动态课程体系、立体实践体系，全程跟踪服务，包括导师联系机制、专业竞赛与社会服务项目等。联合培养机制下，探索国际商务人才培养，组织座谈会、讲座与沟通。强化实践导师管理，全程考核保证质量。</w:t>
      </w:r>
    </w:p>
    <w:p w:rsidR="002953E8" w:rsidRPr="002953E8" w:rsidRDefault="002953E8" w:rsidP="002953E8">
      <w:pPr>
        <w:widowControl/>
        <w:snapToGrid w:val="0"/>
        <w:spacing w:line="276" w:lineRule="auto"/>
        <w:textAlignment w:val="baseline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五、教育质量评估与分析</w:t>
      </w:r>
    </w:p>
    <w:p w:rsidR="002953E8" w:rsidRPr="002953E8" w:rsidRDefault="002953E8" w:rsidP="002953E8">
      <w:pPr>
        <w:spacing w:line="276" w:lineRule="auto"/>
        <w:outlineLvl w:val="2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（一）人才培养的特色与优势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bookmarkStart w:id="2" w:name="OLE_LINK4"/>
      <w:r w:rsidRPr="002953E8">
        <w:rPr>
          <w:rFonts w:ascii="仿宋_GB2312" w:eastAsia="仿宋_GB2312" w:hAnsi="宋体" w:cs="Times New Roman" w:hint="eastAsia"/>
          <w:sz w:val="28"/>
          <w:szCs w:val="28"/>
        </w:rPr>
        <w:t>1</w:t>
      </w:r>
      <w:r w:rsidRPr="002953E8">
        <w:rPr>
          <w:rFonts w:ascii="仿宋_GB2312" w:eastAsia="仿宋_GB2312" w:hAnsi="宋体" w:cs="Times New Roman"/>
          <w:sz w:val="28"/>
          <w:szCs w:val="28"/>
        </w:rPr>
        <w:t>.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优质生源和综合能力提升：逐年提高的优质生源，培养学生具备数理研究基础和综合能力。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2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．高水平研究成果转化为研究生培养资源：积极参与国家社科项目、自科重点项目、侨商企业等科研项目，培养专业学位研究生。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3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．校外资源参与办学：引入实践导师，包括企业高级管理人员、政府公务人员、国内外著名专家，形成高水平导师队伍；支持资源包括实践基地和企事业单位联动的育人平台。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4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．质量保障和认证：拥有雄厚的经济学及商科师资力量，100%的导师拥有博士学位，40%以上的教师具有海外知名大学深造经历。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5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．培养成效和影响力：学生荣获多项荣誉称号，为一带一路沿线国家输送高级商务人才。</w:t>
      </w:r>
    </w:p>
    <w:bookmarkEnd w:id="2"/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（二）服务贡献与社会声誉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/>
          <w:sz w:val="28"/>
          <w:szCs w:val="28"/>
        </w:rPr>
        <w:t>1.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建言献策：积极参与粤港澳大湾区国家发展战略，教师经常为政府决策提供咨询服务，为企业提供专业支持，得到各级领导的肯定。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2</w:t>
      </w:r>
      <w:r w:rsidRPr="002953E8">
        <w:rPr>
          <w:rFonts w:ascii="仿宋_GB2312" w:eastAsia="仿宋_GB2312" w:hAnsi="宋体" w:cs="Times New Roman"/>
          <w:sz w:val="28"/>
          <w:szCs w:val="28"/>
        </w:rPr>
        <w:t>.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课题研究：紧密围绕广东改革开放等实际问题开展研究，为政府决策提供理论参考，涉及广东自贸区发展、促进粤港澳合作等重要领域，发表论文和提供咨询报告等。</w:t>
      </w:r>
    </w:p>
    <w:p w:rsidR="002953E8" w:rsidRPr="002953E8" w:rsidRDefault="002953E8" w:rsidP="002953E8">
      <w:pPr>
        <w:spacing w:line="276" w:lineRule="auto"/>
        <w:outlineLvl w:val="2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（三）在学成果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研究生在学期间通过参与项目课题、学术比赛、创新创业和社会实习等方式取得了丰富的成果。3位学生参与中国（广东）自由贸易试验区课题研究，围绕国际贸易和跨境电商展开研究，为自贸区产业规划提供重要依据，促进了新业态的发展。</w:t>
      </w:r>
    </w:p>
    <w:p w:rsidR="002953E8" w:rsidRPr="002953E8" w:rsidRDefault="002953E8" w:rsidP="002953E8">
      <w:pPr>
        <w:spacing w:line="276" w:lineRule="auto"/>
        <w:outlineLvl w:val="2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（四）学位论文抽检情况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本专业严格把关学位论文质量，通过开设论文写作课程、督促按时完成论文计划、导师认真指导等方式确保论文质量。今年，37位研究生的学位论文全部通过答辩委员会和审核，获得国际商务专业硕士学位。论文选题来源于国际商务实践领域，形式主要为案例分析和调研报告，紧密结合学科背景和社会需求，涉及多个领域如国际商务管理、并购风险、商业模式分析等，体现了专业深度和应用价值。在导师指导和学生努力下，学位论文整体水平较高。</w:t>
      </w:r>
    </w:p>
    <w:p w:rsidR="002953E8" w:rsidRPr="002953E8" w:rsidRDefault="002953E8" w:rsidP="002953E8">
      <w:pPr>
        <w:widowControl/>
        <w:snapToGrid w:val="0"/>
        <w:spacing w:line="276" w:lineRule="auto"/>
        <w:textAlignment w:val="baseline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六、改进措施</w:t>
      </w:r>
    </w:p>
    <w:p w:rsidR="002953E8" w:rsidRPr="002953E8" w:rsidRDefault="002953E8" w:rsidP="002953E8">
      <w:pPr>
        <w:widowControl/>
        <w:spacing w:line="276" w:lineRule="auto"/>
        <w:ind w:firstLineChars="200" w:firstLine="560"/>
        <w:textAlignment w:val="baseline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针对问题提出改进建议和下一步思路举措。</w:t>
      </w:r>
    </w:p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（一）存在的问题</w:t>
      </w:r>
    </w:p>
    <w:p w:rsidR="002953E8" w:rsidRPr="002953E8" w:rsidRDefault="002953E8" w:rsidP="002953E8">
      <w:pPr>
        <w:spacing w:line="276" w:lineRule="auto"/>
        <w:ind w:firstLineChars="200" w:firstLine="56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1</w:t>
      </w:r>
      <w:r w:rsidRPr="002953E8">
        <w:rPr>
          <w:rFonts w:ascii="仿宋_GB2312" w:eastAsia="仿宋_GB2312" w:hAnsi="宋体" w:cs="Times New Roman"/>
          <w:b/>
          <w:bCs/>
          <w:sz w:val="28"/>
          <w:szCs w:val="28"/>
        </w:rPr>
        <w:t>.</w:t>
      </w: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招生规模限制影响发展：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本专业需要争取更多的招生指标，以扩大招生规模，增加学生数量，推动学科发展。</w:t>
      </w:r>
    </w:p>
    <w:p w:rsidR="002953E8" w:rsidRPr="002953E8" w:rsidRDefault="002953E8" w:rsidP="002953E8">
      <w:pPr>
        <w:spacing w:line="276" w:lineRule="auto"/>
        <w:ind w:firstLineChars="200" w:firstLine="56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2</w:t>
      </w:r>
      <w:r w:rsidRPr="002953E8">
        <w:rPr>
          <w:rFonts w:ascii="仿宋_GB2312" w:eastAsia="仿宋_GB2312" w:hAnsi="宋体" w:cs="Times New Roman"/>
          <w:b/>
          <w:bCs/>
          <w:sz w:val="28"/>
          <w:szCs w:val="28"/>
        </w:rPr>
        <w:t>.</w:t>
      </w: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案例开发成效有限：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虽然已经开发了一些自编案例，但参加全国性比赛和优秀案例评选的数量较少，案例质量还有待提高。</w:t>
      </w:r>
    </w:p>
    <w:p w:rsidR="002953E8" w:rsidRPr="002953E8" w:rsidRDefault="002953E8" w:rsidP="002953E8">
      <w:pPr>
        <w:spacing w:line="276" w:lineRule="auto"/>
        <w:ind w:firstLineChars="200" w:firstLine="56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3</w:t>
      </w:r>
      <w:r w:rsidRPr="002953E8">
        <w:rPr>
          <w:rFonts w:ascii="仿宋_GB2312" w:eastAsia="仿宋_GB2312" w:hAnsi="宋体" w:cs="Times New Roman"/>
          <w:b/>
          <w:bCs/>
          <w:sz w:val="28"/>
          <w:szCs w:val="28"/>
        </w:rPr>
        <w:t>.</w:t>
      </w: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加强对外交流合作：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虽然有教师进行国内外访学和学生参与国际交流，但整体数量有限、渠道有限，特别是本学位点与国内高校之间的交流沟通需要加强。</w:t>
      </w:r>
    </w:p>
    <w:p w:rsidR="002953E8" w:rsidRPr="002953E8" w:rsidRDefault="002953E8" w:rsidP="002953E8">
      <w:pPr>
        <w:spacing w:line="276" w:lineRule="auto"/>
        <w:rPr>
          <w:rFonts w:ascii="仿宋_GB2312" w:eastAsia="仿宋_GB2312" w:hAnsi="宋体" w:cs="Times New Roman"/>
          <w:b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sz w:val="28"/>
          <w:szCs w:val="28"/>
        </w:rPr>
        <w:t>（二）改进思路与举措</w:t>
      </w:r>
    </w:p>
    <w:p w:rsidR="002953E8" w:rsidRPr="002953E8" w:rsidRDefault="002953E8" w:rsidP="002953E8">
      <w:pPr>
        <w:spacing w:line="276" w:lineRule="auto"/>
        <w:ind w:firstLineChars="200" w:firstLine="562"/>
        <w:outlineLvl w:val="2"/>
        <w:rPr>
          <w:rFonts w:ascii="仿宋_GB2312" w:eastAsia="仿宋_GB2312" w:hAnsi="宋体" w:cs="Times New Roman"/>
          <w:b/>
          <w:bCs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1</w:t>
      </w:r>
      <w:r w:rsidRPr="002953E8">
        <w:rPr>
          <w:rFonts w:ascii="仿宋_GB2312" w:eastAsia="仿宋_GB2312" w:hAnsi="宋体" w:cs="Times New Roman"/>
          <w:b/>
          <w:bCs/>
          <w:sz w:val="28"/>
          <w:szCs w:val="28"/>
        </w:rPr>
        <w:t>.</w:t>
      </w: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扩大招生规模的具体举措：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（1）与相关部门沟通，争取增加国际商务硕士的招生指标。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（2）开展宣传推广活动，吸引更多海外华侨学生和“一带一路”沿线国家留学生申请本专业。</w:t>
      </w:r>
    </w:p>
    <w:p w:rsidR="002953E8" w:rsidRPr="002953E8" w:rsidRDefault="002953E8" w:rsidP="002953E8">
      <w:pPr>
        <w:spacing w:line="276" w:lineRule="auto"/>
        <w:ind w:firstLineChars="200" w:firstLine="562"/>
        <w:outlineLvl w:val="2"/>
        <w:rPr>
          <w:rFonts w:ascii="仿宋_GB2312" w:eastAsia="仿宋_GB2312" w:hAnsi="宋体" w:cs="Times New Roman"/>
          <w:b/>
          <w:bCs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2</w:t>
      </w:r>
      <w:r w:rsidRPr="002953E8">
        <w:rPr>
          <w:rFonts w:ascii="仿宋_GB2312" w:eastAsia="仿宋_GB2312" w:hAnsi="宋体" w:cs="Times New Roman"/>
          <w:b/>
          <w:bCs/>
          <w:sz w:val="28"/>
          <w:szCs w:val="28"/>
        </w:rPr>
        <w:t>.</w:t>
      </w: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加大案例开发支持力度的具体举措：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（1）设立奖励机制，对入选优秀案例库或获得比赛奖项的案例给予奖励，激励学生和教师参与案例开发。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（2）提供经费支持，补贴自行开发案例的教师和学生，鼓励他们开发更多创新性案例。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</w:t>
      </w:r>
      <w:r w:rsidRPr="002953E8">
        <w:rPr>
          <w:rFonts w:ascii="仿宋_GB2312" w:eastAsia="仿宋_GB2312" w:hAnsi="宋体" w:cs="Times New Roman"/>
          <w:sz w:val="28"/>
          <w:szCs w:val="28"/>
        </w:rPr>
        <w:t>3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）加强校企合作，与企事业单位合作开发实际应用案例，促进理论与实践的结合。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（4）组织案例开发工作坊和培训，提升教师和学生案例开发能力，推动优秀案例的产出。</w:t>
      </w:r>
    </w:p>
    <w:p w:rsidR="002953E8" w:rsidRPr="002953E8" w:rsidRDefault="002953E8" w:rsidP="002953E8">
      <w:pPr>
        <w:spacing w:line="276" w:lineRule="auto"/>
        <w:ind w:firstLineChars="200" w:firstLine="562"/>
        <w:outlineLvl w:val="2"/>
        <w:rPr>
          <w:rFonts w:ascii="仿宋_GB2312" w:eastAsia="仿宋_GB2312" w:hAnsi="宋体" w:cs="Times New Roman"/>
          <w:b/>
          <w:bCs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3</w:t>
      </w:r>
      <w:r w:rsidRPr="002953E8">
        <w:rPr>
          <w:rFonts w:ascii="仿宋_GB2312" w:eastAsia="仿宋_GB2312" w:hAnsi="宋体" w:cs="Times New Roman"/>
          <w:b/>
          <w:bCs/>
          <w:sz w:val="28"/>
          <w:szCs w:val="28"/>
        </w:rPr>
        <w:t>.</w:t>
      </w:r>
      <w:r w:rsidRPr="002953E8">
        <w:rPr>
          <w:rFonts w:ascii="仿宋_GB2312" w:eastAsia="仿宋_GB2312" w:hAnsi="宋体" w:cs="Times New Roman" w:hint="eastAsia"/>
          <w:b/>
          <w:bCs/>
          <w:sz w:val="28"/>
          <w:szCs w:val="28"/>
        </w:rPr>
        <w:t>加强合作培养和交流的具体举措：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（1）制定具体合作计划，包括教师访学、企业导师指导等，确保合作深入有效进行。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（2）开展暑期实践项目，与国内外知名高校合作，为学生提供更多实践机会。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</w:t>
      </w:r>
      <w:r w:rsidRPr="002953E8">
        <w:rPr>
          <w:rFonts w:ascii="仿宋_GB2312" w:eastAsia="仿宋_GB2312" w:hAnsi="宋体" w:cs="Times New Roman"/>
          <w:sz w:val="28"/>
          <w:szCs w:val="28"/>
        </w:rPr>
        <w:t>3</w:t>
      </w:r>
      <w:r w:rsidRPr="002953E8">
        <w:rPr>
          <w:rFonts w:ascii="仿宋_GB2312" w:eastAsia="仿宋_GB2312" w:hAnsi="宋体" w:cs="Times New Roman" w:hint="eastAsia"/>
          <w:sz w:val="28"/>
          <w:szCs w:val="28"/>
        </w:rPr>
        <w:t>）建立校企合作基地，与东部沿海省份企业深度合作，提供更多实习和就业机会。</w:t>
      </w:r>
    </w:p>
    <w:p w:rsidR="002953E8" w:rsidRPr="002953E8" w:rsidRDefault="002953E8" w:rsidP="002953E8">
      <w:pPr>
        <w:spacing w:line="276" w:lineRule="auto"/>
        <w:ind w:firstLineChars="200" w:firstLine="560"/>
        <w:outlineLvl w:val="2"/>
        <w:rPr>
          <w:rFonts w:ascii="仿宋_GB2312" w:eastAsia="仿宋_GB2312" w:hAnsi="宋体" w:cs="Times New Roman"/>
          <w:sz w:val="28"/>
          <w:szCs w:val="28"/>
        </w:rPr>
      </w:pPr>
      <w:r w:rsidRPr="002953E8">
        <w:rPr>
          <w:rFonts w:ascii="仿宋_GB2312" w:eastAsia="仿宋_GB2312" w:hAnsi="宋体" w:cs="Times New Roman" w:hint="eastAsia"/>
          <w:sz w:val="28"/>
          <w:szCs w:val="28"/>
        </w:rPr>
        <w:t>（4）加强学生参与全国商务专业学位创新创业挑战赛等活动，培养学生实践能力和创新精神。</w:t>
      </w:r>
    </w:p>
    <w:p w:rsidR="002A0C0D" w:rsidRPr="002953E8" w:rsidRDefault="002A0C0D"/>
    <w:sectPr w:rsidR="002A0C0D" w:rsidRPr="002953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2DA" w:rsidRDefault="006A52DA">
      <w:r>
        <w:separator/>
      </w:r>
    </w:p>
  </w:endnote>
  <w:endnote w:type="continuationSeparator" w:id="0">
    <w:p w:rsidR="006A52DA" w:rsidRDefault="006A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charset w:val="86"/>
    <w:family w:val="auto"/>
    <w:pitch w:val="default"/>
    <w:sig w:usb0="00000001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B93" w:rsidRDefault="002953E8">
    <w:pPr>
      <w:pStyle w:val="a3"/>
      <w:widowControl/>
      <w:textAlignment w:val="baseline"/>
      <w:rPr>
        <w:rStyle w:val="NormalCharacter"/>
        <w:rFonts w:ascii="Times New Roman" w:eastAsia="宋体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5FF27C" wp14:editId="4EE67F1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87B93" w:rsidRDefault="002953E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42E5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qY5GgIAABc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6&#10;6qY5GgIAABc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:rsidR="00F87B93" w:rsidRDefault="002953E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42E5F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Style w:val="NormalCharacter"/>
        <w:rFonts w:ascii="Times New Roman" w:eastAsia="宋体" w:hAnsi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A6CC41" wp14:editId="48F6C237">
              <wp:simplePos x="0" y="0"/>
              <wp:positionH relativeFrom="margin">
                <wp:align>center</wp:align>
              </wp:positionH>
              <wp:positionV relativeFrom="paragraph">
                <wp:posOffset>8255</wp:posOffset>
              </wp:positionV>
              <wp:extent cx="1828800" cy="1828800"/>
              <wp:effectExtent l="0" t="0" r="0" b="0"/>
              <wp:wrapNone/>
              <wp:docPr id="1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F87B93" w:rsidRDefault="00442E5F">
                          <w:pPr>
                            <w:pStyle w:val="a3"/>
                            <w:widowControl/>
                            <w:jc w:val="both"/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0"/>
                            </w:rPr>
                          </w:pPr>
                        </w:p>
                        <w:p w:rsidR="00F87B93" w:rsidRDefault="00442E5F">
                          <w:pPr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7" type="#_x0000_t202" style="position:absolute;margin-left:0;margin-top:.65pt;width:2in;height:2in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" filled="f" stroked="f" strokeweight="1.25pt">
              <v:textbox inset="0,0,0,0">
                <w:txbxContent>
                  <w:p w:rsidR="00F87B93" w:rsidRDefault="002953E8">
                    <w:pPr>
                      <w:pStyle w:val="a3"/>
                      <w:widowControl/>
                      <w:jc w:val="both"/>
                      <w:textAlignment w:val="baseline"/>
                      <w:rPr>
                        <w:rStyle w:val="NormalCharacter"/>
                        <w:rFonts w:ascii="Times New Roman" w:eastAsia="宋体" w:hAnsi="Times New Roman"/>
                        <w:sz w:val="20"/>
                      </w:rPr>
                    </w:pPr>
                  </w:p>
                  <w:p w:rsidR="00F87B93" w:rsidRDefault="002953E8">
                    <w:pPr>
                      <w:textAlignment w:val="baseline"/>
                      <w:rPr>
                        <w:rStyle w:val="NormalCharacter"/>
                        <w:rFonts w:ascii="Times New Roman" w:eastAsia="宋体" w:hAnsi="Times New Roma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2DA" w:rsidRDefault="006A52DA">
      <w:r>
        <w:separator/>
      </w:r>
    </w:p>
  </w:footnote>
  <w:footnote w:type="continuationSeparator" w:id="0">
    <w:p w:rsidR="006A52DA" w:rsidRDefault="006A5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49F6"/>
    <w:multiLevelType w:val="multilevel"/>
    <w:tmpl w:val="04CD49F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A96194B"/>
    <w:multiLevelType w:val="multilevel"/>
    <w:tmpl w:val="7A96194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388"/>
    <w:rsid w:val="00063458"/>
    <w:rsid w:val="00173388"/>
    <w:rsid w:val="002953E8"/>
    <w:rsid w:val="002A0C0D"/>
    <w:rsid w:val="00442E5F"/>
    <w:rsid w:val="004F1B6A"/>
    <w:rsid w:val="006A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95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953E8"/>
    <w:rPr>
      <w:sz w:val="18"/>
      <w:szCs w:val="18"/>
    </w:rPr>
  </w:style>
  <w:style w:type="character" w:customStyle="1" w:styleId="NormalCharacter">
    <w:name w:val="NormalCharacter"/>
    <w:semiHidden/>
    <w:qFormat/>
    <w:rsid w:val="002953E8"/>
    <w:rPr>
      <w:rFonts w:ascii="Calibri" w:eastAsia="方正仿宋简体" w:hAnsi="Calibri" w:cs="Times New Roman"/>
      <w:kern w:val="2"/>
      <w:sz w:val="32"/>
      <w:szCs w:val="24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95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953E8"/>
    <w:rPr>
      <w:sz w:val="18"/>
      <w:szCs w:val="18"/>
    </w:rPr>
  </w:style>
  <w:style w:type="character" w:customStyle="1" w:styleId="NormalCharacter">
    <w:name w:val="NormalCharacter"/>
    <w:semiHidden/>
    <w:qFormat/>
    <w:rsid w:val="002953E8"/>
    <w:rPr>
      <w:rFonts w:ascii="Calibri" w:eastAsia="方正仿宋简体" w:hAnsi="Calibri" w:cs="Times New Roman"/>
      <w:kern w:val="2"/>
      <w:sz w:val="32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周丽华</dc:creator>
  <cp:lastModifiedBy>周丽华</cp:lastModifiedBy>
  <cp:revision>2</cp:revision>
  <dcterms:created xsi:type="dcterms:W3CDTF">2025-03-12T08:37:00Z</dcterms:created>
  <dcterms:modified xsi:type="dcterms:W3CDTF">2025-03-12T08:37:00Z</dcterms:modified>
</cp:coreProperties>
</file>