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9F0" w:rsidRPr="006F29F0" w:rsidRDefault="006F29F0" w:rsidP="006F29F0">
      <w:pPr>
        <w:spacing w:after="156" w:line="360" w:lineRule="auto"/>
        <w:jc w:val="center"/>
        <w:textAlignment w:val="baseline"/>
        <w:rPr>
          <w:rFonts w:ascii="Times New Roman" w:eastAsia="宋体" w:hAnsi="Times New Roman" w:cs="Times New Roman"/>
          <w:b/>
          <w:sz w:val="44"/>
          <w:szCs w:val="44"/>
        </w:rPr>
      </w:pPr>
    </w:p>
    <w:p w:rsidR="006F29F0" w:rsidRPr="006F29F0" w:rsidRDefault="006F29F0" w:rsidP="006F29F0">
      <w:pPr>
        <w:spacing w:after="156" w:line="360" w:lineRule="auto"/>
        <w:jc w:val="center"/>
        <w:textAlignment w:val="baseline"/>
        <w:rPr>
          <w:rFonts w:ascii="Times New Roman" w:eastAsia="宋体" w:hAnsi="Times New Roman" w:cs="Times New Roman"/>
          <w:bCs/>
          <w:sz w:val="44"/>
          <w:szCs w:val="44"/>
        </w:rPr>
      </w:pPr>
    </w:p>
    <w:p w:rsidR="006F29F0" w:rsidRPr="006F29F0" w:rsidRDefault="006F29F0" w:rsidP="006F29F0">
      <w:pPr>
        <w:spacing w:after="156" w:line="360" w:lineRule="auto"/>
        <w:jc w:val="center"/>
        <w:textAlignment w:val="baseline"/>
        <w:rPr>
          <w:rFonts w:ascii="Times New Roman" w:eastAsia="宋体" w:hAnsi="Times New Roman" w:cs="Times New Roman"/>
          <w:bCs/>
          <w:sz w:val="44"/>
          <w:szCs w:val="44"/>
        </w:rPr>
      </w:pPr>
    </w:p>
    <w:p w:rsidR="006F29F0" w:rsidRPr="006F29F0" w:rsidRDefault="00E65ABE" w:rsidP="006F29F0">
      <w:pPr>
        <w:spacing w:after="156" w:line="360" w:lineRule="auto"/>
        <w:jc w:val="center"/>
        <w:textAlignment w:val="baseline"/>
        <w:rPr>
          <w:rFonts w:ascii="Times New Roman" w:eastAsia="黑体" w:hAnsi="Times New Roman" w:cs="Times New Roman"/>
          <w:bCs/>
          <w:sz w:val="44"/>
          <w:szCs w:val="44"/>
        </w:rPr>
      </w:pPr>
      <w:r w:rsidRPr="00E65ABE">
        <w:rPr>
          <w:rFonts w:ascii="Times New Roman" w:eastAsia="黑体" w:hAnsi="Times New Roman" w:cs="Times New Roman" w:hint="eastAsia"/>
          <w:bCs/>
          <w:sz w:val="44"/>
          <w:szCs w:val="44"/>
        </w:rPr>
        <w:t>学位授权点质量建设年度报告</w:t>
      </w:r>
    </w:p>
    <w:p w:rsidR="006F29F0" w:rsidRPr="006F29F0" w:rsidRDefault="006F29F0" w:rsidP="006F29F0">
      <w:pPr>
        <w:spacing w:after="156" w:line="360" w:lineRule="auto"/>
        <w:jc w:val="center"/>
        <w:textAlignment w:val="baseline"/>
        <w:rPr>
          <w:rFonts w:ascii="Times New Roman" w:eastAsia="黑体" w:hAnsi="Times New Roman" w:cs="Times New Roman"/>
          <w:bCs/>
          <w:sz w:val="44"/>
          <w:szCs w:val="44"/>
        </w:rPr>
      </w:pPr>
      <w:r w:rsidRPr="006F29F0">
        <w:rPr>
          <w:rFonts w:ascii="Times New Roman" w:eastAsia="黑体" w:hAnsi="Times New Roman" w:cs="Times New Roman" w:hint="eastAsia"/>
          <w:bCs/>
          <w:sz w:val="44"/>
          <w:szCs w:val="44"/>
        </w:rPr>
        <w:t>（</w:t>
      </w:r>
      <w:r w:rsidRPr="006F29F0">
        <w:rPr>
          <w:rFonts w:ascii="Times New Roman" w:eastAsia="黑体" w:hAnsi="Times New Roman" w:cs="Times New Roman" w:hint="eastAsia"/>
          <w:bCs/>
          <w:sz w:val="44"/>
          <w:szCs w:val="44"/>
        </w:rPr>
        <w:t>2024</w:t>
      </w:r>
      <w:r w:rsidRPr="006F29F0">
        <w:rPr>
          <w:rFonts w:ascii="Times New Roman" w:eastAsia="黑体" w:hAnsi="Times New Roman" w:cs="Times New Roman" w:hint="eastAsia"/>
          <w:bCs/>
          <w:sz w:val="44"/>
          <w:szCs w:val="44"/>
        </w:rPr>
        <w:t>年）</w:t>
      </w:r>
    </w:p>
    <w:p w:rsidR="006F29F0" w:rsidRPr="006F29F0" w:rsidRDefault="006F29F0" w:rsidP="006F29F0">
      <w:pPr>
        <w:spacing w:after="156" w:line="360" w:lineRule="auto"/>
        <w:jc w:val="center"/>
        <w:textAlignment w:val="baseline"/>
        <w:rPr>
          <w:rFonts w:ascii="Times New Roman" w:eastAsia="宋体" w:hAnsi="Times New Roman" w:cs="Times New Roman"/>
          <w:bCs/>
          <w:sz w:val="44"/>
          <w:szCs w:val="44"/>
        </w:rPr>
      </w:pPr>
    </w:p>
    <w:p w:rsidR="006F29F0" w:rsidRPr="006F29F0" w:rsidRDefault="006F29F0" w:rsidP="006F29F0">
      <w:pPr>
        <w:snapToGrid w:val="0"/>
        <w:spacing w:line="360" w:lineRule="auto"/>
        <w:jc w:val="center"/>
        <w:textAlignment w:val="baseline"/>
        <w:rPr>
          <w:rFonts w:ascii="Times New Roman" w:eastAsia="宋体" w:hAnsi="Times New Roman" w:cs="Times New Roman"/>
          <w:b/>
          <w:sz w:val="48"/>
          <w:szCs w:val="20"/>
        </w:rPr>
      </w:pPr>
    </w:p>
    <w:p w:rsidR="006F29F0" w:rsidRPr="006F29F0" w:rsidRDefault="006F29F0" w:rsidP="006F29F0">
      <w:pPr>
        <w:snapToGrid w:val="0"/>
        <w:spacing w:line="360" w:lineRule="auto"/>
        <w:jc w:val="center"/>
        <w:textAlignment w:val="baseline"/>
        <w:rPr>
          <w:rFonts w:ascii="Times New Roman" w:eastAsia="宋体" w:hAnsi="Times New Roman" w:cs="Times New Roman"/>
          <w:b/>
          <w:sz w:val="48"/>
          <w:szCs w:val="20"/>
        </w:rPr>
      </w:pPr>
    </w:p>
    <w:p w:rsidR="006F29F0" w:rsidRPr="006F29F0" w:rsidRDefault="006F29F0" w:rsidP="006F29F0">
      <w:pPr>
        <w:snapToGrid w:val="0"/>
        <w:spacing w:line="360" w:lineRule="auto"/>
        <w:jc w:val="center"/>
        <w:textAlignment w:val="baseline"/>
        <w:rPr>
          <w:rFonts w:ascii="Times New Roman" w:eastAsia="宋体" w:hAnsi="Times New Roman" w:cs="Times New Roman"/>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6F29F0" w:rsidRPr="006F29F0" w:rsidTr="00462456">
        <w:trPr>
          <w:trHeight w:val="794"/>
          <w:jc w:val="center"/>
        </w:trPr>
        <w:tc>
          <w:tcPr>
            <w:tcW w:w="1507" w:type="dxa"/>
            <w:vMerge w:val="restart"/>
            <w:tcBorders>
              <w:top w:val="nil"/>
              <w:left w:val="nil"/>
              <w:bottom w:val="single" w:sz="4" w:space="0" w:color="000000"/>
              <w:right w:val="single" w:sz="4" w:space="0" w:color="000000"/>
            </w:tcBorders>
            <w:vAlign w:val="center"/>
          </w:tcPr>
          <w:p w:rsidR="006F29F0" w:rsidRPr="006F29F0" w:rsidRDefault="006F29F0" w:rsidP="006F29F0">
            <w:pPr>
              <w:snapToGrid w:val="0"/>
              <w:spacing w:line="360" w:lineRule="auto"/>
              <w:jc w:val="center"/>
              <w:textAlignment w:val="baseline"/>
              <w:rPr>
                <w:rFonts w:ascii="Times New Roman" w:eastAsia="宋体" w:hAnsi="Times New Roman" w:cs="Times New Roman"/>
                <w:b/>
                <w:spacing w:val="-10"/>
                <w:sz w:val="32"/>
                <w:szCs w:val="32"/>
              </w:rPr>
            </w:pPr>
            <w:r w:rsidRPr="006F29F0">
              <w:rPr>
                <w:rFonts w:ascii="Times New Roman" w:eastAsia="宋体" w:hAnsi="Times New Roman" w:cs="Times New Roman"/>
                <w:b/>
                <w:spacing w:val="-10"/>
                <w:sz w:val="32"/>
                <w:szCs w:val="32"/>
              </w:rPr>
              <w:t>高校</w:t>
            </w:r>
          </w:p>
          <w:p w:rsidR="006F29F0" w:rsidRPr="006F29F0" w:rsidRDefault="006F29F0" w:rsidP="006F29F0">
            <w:pPr>
              <w:snapToGrid w:val="0"/>
              <w:spacing w:line="360" w:lineRule="auto"/>
              <w:jc w:val="center"/>
              <w:textAlignment w:val="baseline"/>
              <w:rPr>
                <w:rFonts w:ascii="Times New Roman" w:eastAsia="宋体" w:hAnsi="Times New Roman" w:cs="Times New Roman"/>
                <w:b/>
                <w:spacing w:val="-10"/>
                <w:sz w:val="32"/>
                <w:szCs w:val="32"/>
              </w:rPr>
            </w:pPr>
            <w:r w:rsidRPr="006F29F0">
              <w:rPr>
                <w:rFonts w:ascii="Times New Roman" w:eastAsia="宋体" w:hAnsi="Times New Roman" w:cs="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6F29F0" w:rsidRPr="006F29F0" w:rsidRDefault="006F29F0" w:rsidP="006F29F0">
            <w:pPr>
              <w:snapToGrid w:val="0"/>
              <w:spacing w:line="360" w:lineRule="auto"/>
              <w:textAlignment w:val="baseline"/>
              <w:rPr>
                <w:rFonts w:ascii="Times New Roman" w:eastAsia="宋体" w:hAnsi="Times New Roman" w:cs="Times New Roman"/>
                <w:b/>
                <w:spacing w:val="-10"/>
                <w:sz w:val="32"/>
                <w:szCs w:val="32"/>
              </w:rPr>
            </w:pPr>
            <w:r w:rsidRPr="006F29F0">
              <w:rPr>
                <w:rFonts w:ascii="Times New Roman" w:eastAsia="宋体" w:hAnsi="Times New Roman" w:cs="Times New Roman"/>
                <w:b/>
                <w:spacing w:val="-10"/>
                <w:sz w:val="32"/>
                <w:szCs w:val="32"/>
              </w:rPr>
              <w:t>名称：</w:t>
            </w:r>
            <w:r w:rsidRPr="006F29F0">
              <w:rPr>
                <w:rFonts w:ascii="Times New Roman" w:eastAsia="宋体" w:hAnsi="Times New Roman" w:cs="Times New Roman" w:hint="eastAsia"/>
                <w:b/>
                <w:spacing w:val="-10"/>
                <w:sz w:val="32"/>
                <w:szCs w:val="32"/>
              </w:rPr>
              <w:t>税务</w:t>
            </w:r>
          </w:p>
        </w:tc>
      </w:tr>
      <w:tr w:rsidR="006F29F0" w:rsidRPr="006F29F0" w:rsidTr="00462456">
        <w:trPr>
          <w:trHeight w:val="794"/>
          <w:jc w:val="center"/>
        </w:trPr>
        <w:tc>
          <w:tcPr>
            <w:tcW w:w="1507" w:type="dxa"/>
            <w:vMerge/>
            <w:tcBorders>
              <w:top w:val="single" w:sz="4" w:space="0" w:color="000000"/>
              <w:left w:val="nil"/>
              <w:bottom w:val="nil"/>
              <w:right w:val="single" w:sz="4" w:space="0" w:color="000000"/>
            </w:tcBorders>
            <w:vAlign w:val="center"/>
          </w:tcPr>
          <w:p w:rsidR="006F29F0" w:rsidRPr="006F29F0" w:rsidRDefault="006F29F0" w:rsidP="006F29F0">
            <w:pPr>
              <w:snapToGrid w:val="0"/>
              <w:spacing w:line="360" w:lineRule="auto"/>
              <w:jc w:val="center"/>
              <w:textAlignment w:val="baseline"/>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6F29F0" w:rsidRPr="006F29F0" w:rsidRDefault="006F29F0" w:rsidP="006F29F0">
            <w:pPr>
              <w:snapToGrid w:val="0"/>
              <w:spacing w:line="360" w:lineRule="auto"/>
              <w:textAlignment w:val="baseline"/>
              <w:rPr>
                <w:rFonts w:ascii="Times New Roman" w:eastAsia="宋体" w:hAnsi="Times New Roman" w:cs="Times New Roman"/>
                <w:b/>
                <w:spacing w:val="-10"/>
                <w:sz w:val="32"/>
                <w:szCs w:val="32"/>
              </w:rPr>
            </w:pPr>
            <w:r w:rsidRPr="006F29F0">
              <w:rPr>
                <w:rFonts w:ascii="Times New Roman" w:eastAsia="宋体" w:hAnsi="Times New Roman" w:cs="Times New Roman"/>
                <w:b/>
                <w:spacing w:val="-10"/>
                <w:sz w:val="32"/>
                <w:szCs w:val="32"/>
              </w:rPr>
              <w:t>代码：</w:t>
            </w:r>
            <w:r w:rsidRPr="006F29F0">
              <w:rPr>
                <w:rFonts w:ascii="Times New Roman" w:eastAsia="宋体" w:hAnsi="Times New Roman" w:cs="Times New Roman" w:hint="eastAsia"/>
                <w:b/>
                <w:spacing w:val="-10"/>
                <w:sz w:val="32"/>
                <w:szCs w:val="32"/>
              </w:rPr>
              <w:t>0</w:t>
            </w:r>
            <w:r w:rsidRPr="006F29F0">
              <w:rPr>
                <w:rFonts w:ascii="Times New Roman" w:eastAsia="宋体" w:hAnsi="Times New Roman" w:cs="Times New Roman"/>
                <w:b/>
                <w:spacing w:val="-10"/>
                <w:sz w:val="32"/>
                <w:szCs w:val="32"/>
              </w:rPr>
              <w:t>253</w:t>
            </w:r>
          </w:p>
        </w:tc>
      </w:tr>
    </w:tbl>
    <w:p w:rsidR="006F29F0" w:rsidRPr="006F29F0" w:rsidRDefault="006F29F0" w:rsidP="006F29F0">
      <w:pPr>
        <w:snapToGrid w:val="0"/>
        <w:spacing w:line="360" w:lineRule="auto"/>
        <w:jc w:val="center"/>
        <w:textAlignment w:val="baseline"/>
        <w:rPr>
          <w:rFonts w:ascii="Times New Roman" w:eastAsia="宋体" w:hAnsi="Times New Roman" w:cs="Times New Roman"/>
          <w:b/>
          <w:sz w:val="48"/>
          <w:szCs w:val="20"/>
        </w:rPr>
      </w:pPr>
    </w:p>
    <w:p w:rsidR="006F29F0" w:rsidRPr="006F29F0" w:rsidRDefault="006F29F0" w:rsidP="006F29F0">
      <w:pPr>
        <w:spacing w:line="360" w:lineRule="auto"/>
        <w:jc w:val="center"/>
        <w:textAlignment w:val="baseline"/>
        <w:rPr>
          <w:rFonts w:ascii="Times New Roman" w:eastAsia="宋体" w:hAnsi="Times New Roman" w:cs="Times New Roman"/>
          <w:b/>
          <w:sz w:val="30"/>
          <w:szCs w:val="30"/>
        </w:rPr>
      </w:pPr>
    </w:p>
    <w:p w:rsidR="006F29F0" w:rsidRPr="006F29F0" w:rsidRDefault="006F29F0" w:rsidP="006F29F0">
      <w:pPr>
        <w:widowControl/>
        <w:spacing w:line="360" w:lineRule="auto"/>
        <w:ind w:firstLineChars="200" w:firstLine="640"/>
        <w:textAlignment w:val="baseline"/>
        <w:rPr>
          <w:rFonts w:ascii="Times New Roman" w:eastAsia="宋体" w:hAnsi="Times New Roman" w:cs="Times New Roman"/>
          <w:sz w:val="32"/>
          <w:szCs w:val="24"/>
        </w:rPr>
      </w:pPr>
    </w:p>
    <w:p w:rsidR="006F29F0" w:rsidRPr="006F29F0" w:rsidRDefault="006F29F0" w:rsidP="006F29F0">
      <w:pPr>
        <w:spacing w:line="360" w:lineRule="auto"/>
        <w:jc w:val="center"/>
        <w:textAlignment w:val="baseline"/>
        <w:rPr>
          <w:rFonts w:ascii="Times New Roman" w:eastAsia="宋体" w:hAnsi="Times New Roman" w:cs="Times New Roman"/>
          <w:b/>
          <w:sz w:val="32"/>
          <w:szCs w:val="32"/>
        </w:rPr>
      </w:pPr>
    </w:p>
    <w:p w:rsidR="006F29F0" w:rsidRPr="006F29F0" w:rsidRDefault="006F29F0" w:rsidP="006F29F0">
      <w:pPr>
        <w:spacing w:line="360" w:lineRule="auto"/>
        <w:jc w:val="center"/>
        <w:textAlignment w:val="baseline"/>
        <w:rPr>
          <w:rFonts w:ascii="Times New Roman" w:eastAsia="宋体" w:hAnsi="Times New Roman" w:cs="Times New Roman"/>
          <w:b/>
          <w:sz w:val="32"/>
          <w:szCs w:val="32"/>
        </w:rPr>
      </w:pPr>
      <w:r w:rsidRPr="006F29F0">
        <w:rPr>
          <w:rFonts w:ascii="Times New Roman" w:eastAsia="宋体" w:hAnsi="Times New Roman" w:cs="Times New Roman"/>
          <w:b/>
          <w:sz w:val="32"/>
          <w:szCs w:val="32"/>
        </w:rPr>
        <w:t>202</w:t>
      </w:r>
      <w:r w:rsidRPr="006F29F0">
        <w:rPr>
          <w:rFonts w:ascii="Times New Roman" w:eastAsia="宋体" w:hAnsi="Times New Roman" w:cs="Times New Roman" w:hint="eastAsia"/>
          <w:b/>
          <w:sz w:val="32"/>
          <w:szCs w:val="32"/>
        </w:rPr>
        <w:t>5</w:t>
      </w:r>
      <w:r w:rsidRPr="006F29F0">
        <w:rPr>
          <w:rFonts w:ascii="Times New Roman" w:eastAsia="宋体" w:hAnsi="Times New Roman" w:cs="Times New Roman"/>
          <w:b/>
          <w:sz w:val="32"/>
          <w:szCs w:val="32"/>
        </w:rPr>
        <w:t>年</w:t>
      </w:r>
      <w:r w:rsidRPr="006F29F0">
        <w:rPr>
          <w:rFonts w:ascii="Times New Roman" w:eastAsia="宋体" w:hAnsi="Times New Roman" w:cs="Times New Roman" w:hint="eastAsia"/>
          <w:b/>
          <w:sz w:val="32"/>
          <w:szCs w:val="32"/>
        </w:rPr>
        <w:t>1</w:t>
      </w:r>
      <w:r w:rsidRPr="006F29F0">
        <w:rPr>
          <w:rFonts w:ascii="Times New Roman" w:eastAsia="宋体" w:hAnsi="Times New Roman" w:cs="Times New Roman" w:hint="eastAsia"/>
          <w:b/>
          <w:sz w:val="32"/>
          <w:szCs w:val="32"/>
        </w:rPr>
        <w:t>月</w:t>
      </w:r>
      <w:r w:rsidRPr="006F29F0">
        <w:rPr>
          <w:rFonts w:ascii="Times New Roman" w:eastAsia="宋体" w:hAnsi="Times New Roman" w:cs="Times New Roman" w:hint="eastAsia"/>
          <w:b/>
          <w:sz w:val="32"/>
          <w:szCs w:val="32"/>
        </w:rPr>
        <w:t>7</w:t>
      </w:r>
      <w:r w:rsidRPr="006F29F0">
        <w:rPr>
          <w:rFonts w:ascii="Times New Roman" w:eastAsia="宋体" w:hAnsi="Times New Roman" w:cs="Times New Roman"/>
          <w:b/>
          <w:sz w:val="32"/>
          <w:szCs w:val="32"/>
        </w:rPr>
        <w:t>日</w:t>
      </w:r>
    </w:p>
    <w:p w:rsidR="006F29F0" w:rsidRPr="006F29F0" w:rsidRDefault="006F29F0" w:rsidP="006F29F0">
      <w:pPr>
        <w:spacing w:line="360" w:lineRule="auto"/>
        <w:jc w:val="center"/>
        <w:textAlignment w:val="baseline"/>
        <w:rPr>
          <w:rFonts w:ascii="Times New Roman" w:eastAsia="宋体" w:hAnsi="Times New Roman" w:cs="Times New Roman"/>
          <w:b/>
          <w:sz w:val="32"/>
          <w:szCs w:val="32"/>
        </w:rPr>
      </w:pPr>
    </w:p>
    <w:p w:rsidR="006F29F0" w:rsidRPr="006F29F0" w:rsidRDefault="006F29F0" w:rsidP="006F29F0">
      <w:pPr>
        <w:jc w:val="center"/>
        <w:rPr>
          <w:rFonts w:ascii="等线" w:eastAsia="等线" w:hAnsi="等线" w:cs="Times New Roman"/>
          <w14:ligatures w14:val="standardContextual"/>
        </w:rPr>
      </w:pPr>
    </w:p>
    <w:p w:rsidR="006F29F0" w:rsidRPr="006F29F0" w:rsidRDefault="006F29F0" w:rsidP="006F29F0">
      <w:pPr>
        <w:rPr>
          <w:rFonts w:ascii="等线" w:eastAsia="等线" w:hAnsi="等线" w:cs="Times New Roman"/>
          <w:b/>
          <w14:ligatures w14:val="standardContextual"/>
        </w:rPr>
      </w:pPr>
    </w:p>
    <w:p w:rsidR="00B33507" w:rsidRDefault="00B33507" w:rsidP="006F29F0">
      <w:pPr>
        <w:adjustRightInd w:val="0"/>
        <w:spacing w:line="360" w:lineRule="auto"/>
        <w:ind w:firstLineChars="200" w:firstLine="643"/>
        <w:textAlignment w:val="baseline"/>
        <w:rPr>
          <w:rFonts w:ascii="仿宋" w:eastAsia="仿宋" w:hAnsi="仿宋" w:cs="仿宋_GB2312" w:hint="eastAsia"/>
          <w:b/>
          <w:sz w:val="32"/>
          <w:szCs w:val="32"/>
        </w:rPr>
      </w:pPr>
    </w:p>
    <w:p w:rsidR="006F29F0" w:rsidRPr="006F29F0" w:rsidRDefault="006F29F0" w:rsidP="006F29F0">
      <w:pPr>
        <w:adjustRightInd w:val="0"/>
        <w:spacing w:line="360" w:lineRule="auto"/>
        <w:ind w:firstLineChars="200" w:firstLine="643"/>
        <w:textAlignment w:val="baseline"/>
        <w:rPr>
          <w:rFonts w:ascii="仿宋" w:eastAsia="仿宋" w:hAnsi="仿宋" w:cs="仿宋_GB2312"/>
          <w:b/>
          <w:sz w:val="32"/>
          <w:szCs w:val="32"/>
        </w:rPr>
      </w:pPr>
      <w:bookmarkStart w:id="0" w:name="_GoBack"/>
      <w:bookmarkEnd w:id="0"/>
      <w:r w:rsidRPr="006F29F0">
        <w:rPr>
          <w:rFonts w:ascii="仿宋" w:eastAsia="仿宋" w:hAnsi="仿宋" w:cs="仿宋_GB2312"/>
          <w:b/>
          <w:sz w:val="32"/>
          <w:szCs w:val="32"/>
        </w:rPr>
        <w:t>一、学位授权点</w:t>
      </w:r>
      <w:r w:rsidRPr="006F29F0">
        <w:rPr>
          <w:rFonts w:ascii="仿宋" w:eastAsia="仿宋" w:hAnsi="仿宋" w:cs="仿宋_GB2312" w:hint="eastAsia"/>
          <w:b/>
          <w:sz w:val="32"/>
          <w:szCs w:val="32"/>
        </w:rPr>
        <w:t>基本情况</w:t>
      </w:r>
    </w:p>
    <w:p w:rsidR="006F29F0" w:rsidRPr="006F29F0" w:rsidRDefault="006F29F0" w:rsidP="006F29F0">
      <w:pPr>
        <w:spacing w:line="360" w:lineRule="auto"/>
        <w:ind w:firstLineChars="200" w:firstLine="640"/>
        <w:rPr>
          <w:rFonts w:ascii="仿宋" w:eastAsia="仿宋" w:hAnsi="仿宋" w:cs="仿宋_GB2312"/>
          <w:sz w:val="32"/>
          <w:szCs w:val="32"/>
        </w:rPr>
      </w:pPr>
      <w:r w:rsidRPr="006F29F0">
        <w:rPr>
          <w:rFonts w:ascii="仿宋" w:eastAsia="仿宋" w:hAnsi="仿宋" w:cs="仿宋_GB2312" w:hint="eastAsia"/>
          <w:sz w:val="32"/>
          <w:szCs w:val="32"/>
        </w:rPr>
        <w:t>财税学科经过20多年的建设与发展，已形成较为完善的人才培养体系，现有一个博士点、两个硕士点和两个本科专业。税务硕士依托于本校实力雄厚的应用经济学一级学科，在暨南大学“侨校+名校”的办学理念指导下，在全国率先进行了港澳台地区财税制度的教学与科研活动。</w:t>
      </w:r>
    </w:p>
    <w:p w:rsidR="006F29F0" w:rsidRPr="006F29F0" w:rsidRDefault="006F29F0" w:rsidP="006F29F0">
      <w:pPr>
        <w:spacing w:line="360" w:lineRule="auto"/>
        <w:ind w:firstLineChars="200" w:firstLine="640"/>
        <w:rPr>
          <w:rFonts w:ascii="仿宋" w:eastAsia="仿宋" w:hAnsi="仿宋" w:cs="仿宋_GB2312"/>
          <w:sz w:val="32"/>
          <w:szCs w:val="32"/>
        </w:rPr>
      </w:pPr>
      <w:bookmarkStart w:id="1" w:name="_Hlk180162076"/>
      <w:r w:rsidRPr="006F29F0">
        <w:rPr>
          <w:rFonts w:ascii="仿宋" w:eastAsia="仿宋" w:hAnsi="仿宋" w:cs="仿宋_GB2312" w:hint="eastAsia"/>
          <w:sz w:val="32"/>
          <w:szCs w:val="32"/>
        </w:rPr>
        <w:t>本学位授权</w:t>
      </w:r>
      <w:proofErr w:type="gramStart"/>
      <w:r w:rsidRPr="006F29F0">
        <w:rPr>
          <w:rFonts w:ascii="仿宋" w:eastAsia="仿宋" w:hAnsi="仿宋" w:cs="仿宋_GB2312" w:hint="eastAsia"/>
          <w:sz w:val="32"/>
          <w:szCs w:val="32"/>
        </w:rPr>
        <w:t>点现有</w:t>
      </w:r>
      <w:proofErr w:type="gramEnd"/>
      <w:r w:rsidRPr="006F29F0">
        <w:rPr>
          <w:rFonts w:ascii="仿宋" w:eastAsia="仿宋" w:hAnsi="仿宋" w:cs="仿宋_GB2312" w:hint="eastAsia"/>
          <w:sz w:val="32"/>
          <w:szCs w:val="32"/>
        </w:rPr>
        <w:t>在职专任专业教师（不包括英语、政治等公共课和经济类基础课教师）16人，其中教授3人，副教授3人，讲师10人。师资队伍中，拥有博士学位的教师占94%。博士生导师3人，硕士生导师13人，教育部财政学类专业教学指导委员会委员1人。专任教师授课比例为100%。</w:t>
      </w:r>
    </w:p>
    <w:p w:rsidR="006F29F0" w:rsidRPr="006F29F0" w:rsidRDefault="006F29F0" w:rsidP="006F29F0">
      <w:pPr>
        <w:spacing w:line="360" w:lineRule="auto"/>
        <w:ind w:firstLineChars="200" w:firstLine="640"/>
        <w:rPr>
          <w:rFonts w:ascii="仿宋" w:eastAsia="仿宋" w:hAnsi="仿宋" w:cs="仿宋_GB2312"/>
          <w:sz w:val="32"/>
          <w:szCs w:val="32"/>
        </w:rPr>
      </w:pPr>
      <w:r w:rsidRPr="006F29F0">
        <w:rPr>
          <w:rFonts w:ascii="仿宋" w:eastAsia="仿宋" w:hAnsi="仿宋" w:cs="仿宋_GB2312" w:hint="eastAsia"/>
          <w:sz w:val="32"/>
          <w:szCs w:val="32"/>
        </w:rPr>
        <w:t>从校外导师来看，2024年度共有在聘校外实践指导教师21人，来自税务部门的2人，来自企业和会计师事务所的19人。</w:t>
      </w:r>
      <w:bookmarkEnd w:id="1"/>
    </w:p>
    <w:p w:rsidR="006F29F0" w:rsidRPr="006F29F0" w:rsidRDefault="006F29F0" w:rsidP="006F29F0">
      <w:pPr>
        <w:spacing w:line="360" w:lineRule="auto"/>
        <w:ind w:firstLineChars="200" w:firstLine="640"/>
        <w:rPr>
          <w:rFonts w:ascii="仿宋" w:eastAsia="仿宋" w:hAnsi="仿宋" w:cs="仿宋_GB2312"/>
          <w:sz w:val="32"/>
          <w:szCs w:val="32"/>
        </w:rPr>
      </w:pPr>
      <w:r w:rsidRPr="006F29F0">
        <w:rPr>
          <w:rFonts w:ascii="仿宋" w:eastAsia="仿宋" w:hAnsi="仿宋" w:cs="仿宋_GB2312" w:hint="eastAsia"/>
          <w:sz w:val="32"/>
          <w:szCs w:val="32"/>
        </w:rPr>
        <w:t>税务硕士自招生以来即开始以</w:t>
      </w:r>
      <w:proofErr w:type="gramStart"/>
      <w:r w:rsidRPr="006F29F0">
        <w:rPr>
          <w:rFonts w:ascii="仿宋" w:eastAsia="仿宋" w:hAnsi="仿宋" w:cs="仿宋_GB2312" w:hint="eastAsia"/>
          <w:sz w:val="32"/>
          <w:szCs w:val="32"/>
        </w:rPr>
        <w:t>推免方式</w:t>
      </w:r>
      <w:proofErr w:type="gramEnd"/>
      <w:r w:rsidRPr="006F29F0">
        <w:rPr>
          <w:rFonts w:ascii="仿宋" w:eastAsia="仿宋" w:hAnsi="仿宋" w:cs="仿宋_GB2312" w:hint="eastAsia"/>
          <w:sz w:val="32"/>
          <w:szCs w:val="32"/>
        </w:rPr>
        <w:t>接受全国各地的优秀大学毕业生，每年通过面试录取的推免生数量在30%左右，其余为统考录取，100%完成相应年度的招生计划。近五年通过研究生院审核进入最终面试环节的推免生年均40人以上，超过税务硕士录取指标。自2011年至今，统考科目如下：101思想政治理论、204英语二、303数学三、433税务专业基础。本学位授权点2</w:t>
      </w:r>
      <w:r w:rsidRPr="006F29F0">
        <w:rPr>
          <w:rFonts w:ascii="仿宋" w:eastAsia="仿宋" w:hAnsi="仿宋" w:cs="仿宋_GB2312"/>
          <w:sz w:val="32"/>
          <w:szCs w:val="32"/>
        </w:rPr>
        <w:t>0</w:t>
      </w:r>
      <w:r w:rsidRPr="006F29F0">
        <w:rPr>
          <w:rFonts w:ascii="仿宋" w:eastAsia="仿宋" w:hAnsi="仿宋" w:cs="仿宋_GB2312" w:hint="eastAsia"/>
          <w:sz w:val="32"/>
          <w:szCs w:val="32"/>
        </w:rPr>
        <w:t>20-2</w:t>
      </w:r>
      <w:r w:rsidRPr="006F29F0">
        <w:rPr>
          <w:rFonts w:ascii="仿宋" w:eastAsia="仿宋" w:hAnsi="仿宋" w:cs="仿宋_GB2312"/>
          <w:sz w:val="32"/>
          <w:szCs w:val="32"/>
        </w:rPr>
        <w:t>02</w:t>
      </w:r>
      <w:r w:rsidRPr="006F29F0">
        <w:rPr>
          <w:rFonts w:ascii="仿宋" w:eastAsia="仿宋" w:hAnsi="仿宋" w:cs="仿宋_GB2312" w:hint="eastAsia"/>
          <w:sz w:val="32"/>
          <w:szCs w:val="32"/>
        </w:rPr>
        <w:t>4年未接收过调剂生，五年间报考本专业的考生统考上线率分别为：2</w:t>
      </w:r>
      <w:r w:rsidRPr="006F29F0">
        <w:rPr>
          <w:rFonts w:ascii="仿宋" w:eastAsia="仿宋" w:hAnsi="仿宋" w:cs="仿宋_GB2312"/>
          <w:sz w:val="32"/>
          <w:szCs w:val="32"/>
        </w:rPr>
        <w:t>25%</w:t>
      </w:r>
      <w:r w:rsidRPr="006F29F0">
        <w:rPr>
          <w:rFonts w:ascii="仿宋" w:eastAsia="仿宋" w:hAnsi="仿宋" w:cs="仿宋_GB2312" w:hint="eastAsia"/>
          <w:sz w:val="32"/>
          <w:szCs w:val="32"/>
        </w:rPr>
        <w:t>、218.18</w:t>
      </w:r>
      <w:r w:rsidRPr="006F29F0">
        <w:rPr>
          <w:rFonts w:ascii="仿宋" w:eastAsia="仿宋" w:hAnsi="仿宋" w:cs="仿宋_GB2312"/>
          <w:sz w:val="32"/>
          <w:szCs w:val="32"/>
        </w:rPr>
        <w:t>%</w:t>
      </w:r>
      <w:r w:rsidRPr="006F29F0">
        <w:rPr>
          <w:rFonts w:ascii="仿宋" w:eastAsia="仿宋" w:hAnsi="仿宋" w:cs="仿宋_GB2312" w:hint="eastAsia"/>
          <w:sz w:val="32"/>
          <w:szCs w:val="32"/>
        </w:rPr>
        <w:t>、109.52</w:t>
      </w:r>
      <w:r w:rsidRPr="006F29F0">
        <w:rPr>
          <w:rFonts w:ascii="仿宋" w:eastAsia="仿宋" w:hAnsi="仿宋" w:cs="仿宋_GB2312"/>
          <w:sz w:val="32"/>
          <w:szCs w:val="32"/>
        </w:rPr>
        <w:t>%</w:t>
      </w:r>
      <w:r w:rsidRPr="006F29F0">
        <w:rPr>
          <w:rFonts w:ascii="仿宋" w:eastAsia="仿宋" w:hAnsi="仿宋" w:cs="仿宋_GB2312" w:hint="eastAsia"/>
          <w:sz w:val="32"/>
          <w:szCs w:val="32"/>
        </w:rPr>
        <w:t>、505.56</w:t>
      </w:r>
      <w:r w:rsidRPr="006F29F0">
        <w:rPr>
          <w:rFonts w:ascii="仿宋" w:eastAsia="仿宋" w:hAnsi="仿宋" w:cs="仿宋_GB2312"/>
          <w:sz w:val="32"/>
          <w:szCs w:val="32"/>
        </w:rPr>
        <w:t>%</w:t>
      </w:r>
      <w:r w:rsidRPr="006F29F0">
        <w:rPr>
          <w:rFonts w:ascii="仿宋" w:eastAsia="仿宋" w:hAnsi="仿宋" w:cs="仿宋_GB2312" w:hint="eastAsia"/>
          <w:sz w:val="32"/>
          <w:szCs w:val="32"/>
        </w:rPr>
        <w:t>、376.92</w:t>
      </w:r>
      <w:r w:rsidRPr="006F29F0">
        <w:rPr>
          <w:rFonts w:ascii="仿宋" w:eastAsia="仿宋" w:hAnsi="仿宋" w:cs="仿宋_GB2312"/>
          <w:sz w:val="32"/>
          <w:szCs w:val="32"/>
        </w:rPr>
        <w:t>%</w:t>
      </w:r>
      <w:r w:rsidRPr="006F29F0">
        <w:rPr>
          <w:rFonts w:ascii="仿宋" w:eastAsia="仿宋" w:hAnsi="仿宋" w:cs="仿宋_GB2312" w:hint="eastAsia"/>
          <w:sz w:val="32"/>
          <w:szCs w:val="32"/>
        </w:rPr>
        <w:t>。</w:t>
      </w:r>
    </w:p>
    <w:p w:rsidR="006F29F0" w:rsidRPr="006F29F0" w:rsidRDefault="006F29F0" w:rsidP="006F29F0">
      <w:pPr>
        <w:spacing w:line="360" w:lineRule="auto"/>
        <w:ind w:firstLineChars="200" w:firstLine="640"/>
        <w:rPr>
          <w:rFonts w:ascii="仿宋" w:eastAsia="仿宋" w:hAnsi="仿宋" w:cs="仿宋_GB2312"/>
          <w:sz w:val="32"/>
          <w:szCs w:val="32"/>
        </w:rPr>
      </w:pPr>
      <w:r w:rsidRPr="006F29F0">
        <w:rPr>
          <w:rFonts w:ascii="仿宋" w:eastAsia="仿宋" w:hAnsi="仿宋" w:cs="仿宋_GB2312" w:hint="eastAsia"/>
          <w:sz w:val="32"/>
          <w:szCs w:val="32"/>
        </w:rPr>
        <w:t>暨南大学培养的税务硕士正成为粤港澳大湾区高端财税人才，税务硕士的就业方向主要有政府财税部门、税务师事务所、会计师事务所、专业咨询机构、金融机构和各类企业财务部门。</w:t>
      </w:r>
    </w:p>
    <w:p w:rsidR="006F29F0" w:rsidRPr="006F29F0" w:rsidRDefault="006F29F0" w:rsidP="006F29F0">
      <w:pPr>
        <w:spacing w:line="360" w:lineRule="auto"/>
        <w:ind w:firstLineChars="200" w:firstLine="640"/>
        <w:rPr>
          <w:rFonts w:ascii="仿宋" w:eastAsia="仿宋" w:hAnsi="仿宋" w:cs="仿宋_GB2312"/>
          <w:sz w:val="32"/>
          <w:szCs w:val="32"/>
        </w:rPr>
      </w:pPr>
      <w:proofErr w:type="gramStart"/>
      <w:r w:rsidRPr="006F29F0">
        <w:rPr>
          <w:rFonts w:ascii="仿宋" w:eastAsia="仿宋" w:hAnsi="仿宋" w:cs="仿宋_GB2312" w:hint="eastAsia"/>
          <w:sz w:val="32"/>
          <w:szCs w:val="32"/>
        </w:rPr>
        <w:t>根据智联招聘</w:t>
      </w:r>
      <w:proofErr w:type="gramEnd"/>
      <w:r w:rsidRPr="006F29F0">
        <w:rPr>
          <w:rFonts w:ascii="仿宋" w:eastAsia="仿宋" w:hAnsi="仿宋" w:cs="仿宋_GB2312" w:hint="eastAsia"/>
          <w:sz w:val="32"/>
          <w:szCs w:val="32"/>
        </w:rPr>
        <w:t>发布的《2024年大学生就业力调研报告》，</w:t>
      </w:r>
      <w:proofErr w:type="gramStart"/>
      <w:r w:rsidRPr="006F29F0">
        <w:rPr>
          <w:rFonts w:ascii="仿宋" w:eastAsia="仿宋" w:hAnsi="仿宋" w:cs="仿宋_GB2312" w:hint="eastAsia"/>
          <w:sz w:val="32"/>
          <w:szCs w:val="32"/>
        </w:rPr>
        <w:t>2024年普本院校</w:t>
      </w:r>
      <w:proofErr w:type="gramEnd"/>
      <w:r w:rsidRPr="006F29F0">
        <w:rPr>
          <w:rFonts w:ascii="仿宋" w:eastAsia="仿宋" w:hAnsi="仿宋" w:cs="仿宋_GB2312" w:hint="eastAsia"/>
          <w:sz w:val="32"/>
          <w:szCs w:val="32"/>
        </w:rPr>
        <w:t>硕博就业率为33%，比2023年下降了17%。暨南大学税务硕士每年平均90%的就业率说明，学生的综合素质与专业能力均颇受就业市场欢迎。</w:t>
      </w:r>
    </w:p>
    <w:p w:rsidR="006F29F0" w:rsidRPr="006F29F0" w:rsidRDefault="006F29F0" w:rsidP="006F29F0">
      <w:pPr>
        <w:spacing w:line="360" w:lineRule="auto"/>
        <w:ind w:firstLineChars="200" w:firstLine="640"/>
        <w:rPr>
          <w:rFonts w:ascii="仿宋" w:eastAsia="仿宋" w:hAnsi="仿宋" w:cs="仿宋_GB2312"/>
          <w:sz w:val="32"/>
          <w:szCs w:val="32"/>
        </w:rPr>
      </w:pPr>
      <w:r w:rsidRPr="006F29F0">
        <w:rPr>
          <w:rFonts w:ascii="仿宋" w:eastAsia="仿宋" w:hAnsi="仿宋" w:cs="仿宋_GB2312" w:hint="eastAsia"/>
          <w:sz w:val="32"/>
          <w:szCs w:val="32"/>
        </w:rPr>
        <w:t>根据教育部2</w:t>
      </w:r>
      <w:r w:rsidRPr="006F29F0">
        <w:rPr>
          <w:rFonts w:ascii="仿宋" w:eastAsia="仿宋" w:hAnsi="仿宋" w:cs="仿宋_GB2312"/>
          <w:sz w:val="32"/>
          <w:szCs w:val="32"/>
        </w:rPr>
        <w:t>020</w:t>
      </w:r>
      <w:r w:rsidRPr="006F29F0">
        <w:rPr>
          <w:rFonts w:ascii="仿宋" w:eastAsia="仿宋" w:hAnsi="仿宋" w:cs="仿宋_GB2312" w:hint="eastAsia"/>
          <w:sz w:val="32"/>
          <w:szCs w:val="32"/>
        </w:rPr>
        <w:t>年对本学位授权点毕业生的调查，以及本学位授权点与就业单位的沟通，从反馈结果来看，用人单位对毕业生的职业道德、工作态度与专业素养满意度达9</w:t>
      </w:r>
      <w:r w:rsidRPr="006F29F0">
        <w:rPr>
          <w:rFonts w:ascii="仿宋" w:eastAsia="仿宋" w:hAnsi="仿宋" w:cs="仿宋_GB2312"/>
          <w:sz w:val="32"/>
          <w:szCs w:val="32"/>
        </w:rPr>
        <w:t>0%</w:t>
      </w:r>
      <w:r w:rsidRPr="006F29F0">
        <w:rPr>
          <w:rFonts w:ascii="仿宋" w:eastAsia="仿宋" w:hAnsi="仿宋" w:cs="仿宋_GB2312" w:hint="eastAsia"/>
          <w:sz w:val="32"/>
          <w:szCs w:val="32"/>
        </w:rPr>
        <w:t>以上，毕业生在用人单位服务的时间较长，工作较为稳定。</w:t>
      </w:r>
    </w:p>
    <w:p w:rsidR="006F29F0" w:rsidRPr="006F29F0" w:rsidRDefault="006F29F0" w:rsidP="006F29F0">
      <w:pPr>
        <w:spacing w:line="360" w:lineRule="auto"/>
        <w:ind w:firstLineChars="200" w:firstLine="640"/>
        <w:rPr>
          <w:rFonts w:ascii="仿宋" w:eastAsia="仿宋" w:hAnsi="仿宋" w:cs="仿宋_GB2312"/>
          <w:sz w:val="32"/>
          <w:szCs w:val="32"/>
        </w:rPr>
      </w:pPr>
      <w:r w:rsidRPr="006F29F0">
        <w:rPr>
          <w:rFonts w:ascii="仿宋" w:eastAsia="仿宋" w:hAnsi="仿宋" w:cs="仿宋_GB2312" w:hint="eastAsia"/>
          <w:sz w:val="32"/>
          <w:szCs w:val="32"/>
        </w:rPr>
        <w:t>本学位授权点还积极参与公共事务，参政议政，献言献策，通过学术影响社会，现有国家税务总局科研所特聘研究员1人、省政协委员1人、广州市人大代表1人、广州市天河区人大常委会委员1人、广东乡村振兴咨询委员会委员1人、广州市第十五届人大预算委员会委员1人，广东省财政厅咨询专家1人、广东省政府咨询专家组成员2人、广州市财政局专家咨询委员会委员1人、广州市人大常委会预算委员会咨询专家1人。</w:t>
      </w:r>
    </w:p>
    <w:p w:rsidR="006F29F0" w:rsidRPr="006F29F0" w:rsidRDefault="006F29F0" w:rsidP="006F29F0">
      <w:pPr>
        <w:adjustRightInd w:val="0"/>
        <w:spacing w:line="360" w:lineRule="auto"/>
        <w:ind w:firstLineChars="196" w:firstLine="630"/>
        <w:textAlignment w:val="baseline"/>
        <w:rPr>
          <w:rFonts w:ascii="仿宋" w:eastAsia="仿宋" w:hAnsi="仿宋" w:cs="仿宋_GB2312"/>
          <w:b/>
          <w:sz w:val="32"/>
          <w:szCs w:val="32"/>
        </w:rPr>
      </w:pPr>
      <w:r w:rsidRPr="006F29F0">
        <w:rPr>
          <w:rFonts w:ascii="仿宋" w:eastAsia="仿宋" w:hAnsi="仿宋" w:cs="仿宋_GB2312"/>
          <w:b/>
          <w:sz w:val="32"/>
          <w:szCs w:val="32"/>
        </w:rPr>
        <w:t>二、自我评估工作开展情况</w:t>
      </w:r>
    </w:p>
    <w:p w:rsidR="006F29F0" w:rsidRPr="006F29F0" w:rsidRDefault="006F29F0" w:rsidP="006F29F0">
      <w:pPr>
        <w:spacing w:line="360" w:lineRule="auto"/>
        <w:ind w:firstLineChars="200" w:firstLine="640"/>
        <w:rPr>
          <w:rFonts w:ascii="仿宋" w:eastAsia="仿宋" w:hAnsi="仿宋" w:cs="仿宋_GB2312"/>
          <w:sz w:val="32"/>
          <w:szCs w:val="32"/>
        </w:rPr>
      </w:pPr>
      <w:r w:rsidRPr="006F29F0">
        <w:rPr>
          <w:rFonts w:ascii="仿宋" w:eastAsia="仿宋" w:hAnsi="仿宋" w:cs="仿宋_GB2312" w:hint="eastAsia"/>
          <w:sz w:val="32"/>
          <w:szCs w:val="32"/>
        </w:rPr>
        <w:t>1.</w:t>
      </w:r>
      <w:r w:rsidRPr="006F29F0">
        <w:rPr>
          <w:rFonts w:ascii="仿宋" w:eastAsia="仿宋" w:hAnsi="仿宋" w:cs="仿宋_GB2312"/>
          <w:sz w:val="32"/>
          <w:szCs w:val="32"/>
        </w:rPr>
        <w:t xml:space="preserve"> </w:t>
      </w:r>
      <w:r w:rsidRPr="006F29F0">
        <w:rPr>
          <w:rFonts w:ascii="仿宋" w:eastAsia="仿宋" w:hAnsi="仿宋" w:cs="仿宋_GB2312" w:hint="eastAsia"/>
          <w:sz w:val="32"/>
          <w:szCs w:val="32"/>
        </w:rPr>
        <w:t>评估时间与评估专家组成员</w:t>
      </w:r>
    </w:p>
    <w:p w:rsidR="006F29F0" w:rsidRPr="006F29F0" w:rsidRDefault="006F29F0" w:rsidP="006F29F0">
      <w:pPr>
        <w:spacing w:line="360" w:lineRule="auto"/>
        <w:ind w:firstLineChars="200" w:firstLine="640"/>
        <w:rPr>
          <w:rFonts w:ascii="仿宋" w:eastAsia="仿宋" w:hAnsi="仿宋" w:cs="仿宋_GB2312"/>
          <w:sz w:val="32"/>
          <w:szCs w:val="32"/>
        </w:rPr>
      </w:pPr>
      <w:r w:rsidRPr="006F29F0">
        <w:rPr>
          <w:rFonts w:ascii="仿宋" w:eastAsia="仿宋" w:hAnsi="仿宋" w:cs="仿宋_GB2312" w:hint="eastAsia"/>
          <w:sz w:val="32"/>
          <w:szCs w:val="32"/>
        </w:rPr>
        <w:t>本轮自我评估于20</w:t>
      </w:r>
      <w:r w:rsidRPr="006F29F0">
        <w:rPr>
          <w:rFonts w:ascii="仿宋" w:eastAsia="仿宋" w:hAnsi="仿宋" w:cs="仿宋_GB2312"/>
          <w:sz w:val="32"/>
          <w:szCs w:val="32"/>
        </w:rPr>
        <w:t>2</w:t>
      </w:r>
      <w:r w:rsidRPr="006F29F0">
        <w:rPr>
          <w:rFonts w:ascii="仿宋" w:eastAsia="仿宋" w:hAnsi="仿宋" w:cs="仿宋_GB2312" w:hint="eastAsia"/>
          <w:sz w:val="32"/>
          <w:szCs w:val="32"/>
        </w:rPr>
        <w:t>4年</w:t>
      </w:r>
      <w:r w:rsidRPr="006F29F0">
        <w:rPr>
          <w:rFonts w:ascii="仿宋" w:eastAsia="仿宋" w:hAnsi="仿宋" w:cs="仿宋_GB2312"/>
          <w:sz w:val="32"/>
          <w:szCs w:val="32"/>
        </w:rPr>
        <w:t>11</w:t>
      </w:r>
      <w:r w:rsidRPr="006F29F0">
        <w:rPr>
          <w:rFonts w:ascii="仿宋" w:eastAsia="仿宋" w:hAnsi="仿宋" w:cs="仿宋_GB2312" w:hint="eastAsia"/>
          <w:sz w:val="32"/>
          <w:szCs w:val="32"/>
        </w:rPr>
        <w:t>月14日召开了校外专家评估会。</w:t>
      </w:r>
    </w:p>
    <w:p w:rsidR="006F29F0" w:rsidRPr="006F29F0" w:rsidRDefault="006F29F0" w:rsidP="006F29F0">
      <w:pPr>
        <w:spacing w:line="360" w:lineRule="auto"/>
        <w:ind w:firstLineChars="300" w:firstLine="960"/>
        <w:rPr>
          <w:rFonts w:ascii="仿宋" w:eastAsia="仿宋" w:hAnsi="仿宋" w:cs="仿宋_GB2312"/>
          <w:sz w:val="32"/>
          <w:szCs w:val="32"/>
        </w:rPr>
      </w:pPr>
      <w:r w:rsidRPr="006F29F0">
        <w:rPr>
          <w:rFonts w:ascii="仿宋" w:eastAsia="仿宋" w:hAnsi="仿宋" w:cs="仿宋_GB2312" w:hint="eastAsia"/>
          <w:sz w:val="32"/>
          <w:szCs w:val="32"/>
        </w:rPr>
        <w:t>表1</w:t>
      </w:r>
      <w:r w:rsidRPr="006F29F0">
        <w:rPr>
          <w:rFonts w:ascii="仿宋" w:eastAsia="仿宋" w:hAnsi="仿宋" w:cs="仿宋_GB2312"/>
          <w:sz w:val="32"/>
          <w:szCs w:val="32"/>
        </w:rPr>
        <w:t xml:space="preserve">    </w:t>
      </w:r>
      <w:r w:rsidRPr="006F29F0">
        <w:rPr>
          <w:rFonts w:ascii="仿宋" w:eastAsia="仿宋" w:hAnsi="仿宋" w:cs="仿宋_GB2312" w:hint="eastAsia"/>
          <w:sz w:val="32"/>
          <w:szCs w:val="32"/>
        </w:rPr>
        <w:t>第二轮自我评估校外评估专家名单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5"/>
        <w:gridCol w:w="3402"/>
        <w:gridCol w:w="2791"/>
      </w:tblGrid>
      <w:tr w:rsidR="006F29F0" w:rsidRPr="006F29F0" w:rsidTr="00462456">
        <w:trPr>
          <w:trHeight w:val="357"/>
          <w:jc w:val="center"/>
        </w:trPr>
        <w:tc>
          <w:tcPr>
            <w:tcW w:w="1375" w:type="dxa"/>
          </w:tcPr>
          <w:p w:rsidR="006F29F0" w:rsidRPr="006F29F0" w:rsidRDefault="006F29F0" w:rsidP="006F29F0">
            <w:pPr>
              <w:spacing w:line="360" w:lineRule="auto"/>
              <w:jc w:val="center"/>
              <w:rPr>
                <w:rFonts w:ascii="仿宋" w:eastAsia="仿宋" w:hAnsi="仿宋" w:cs="仿宋_GB2312"/>
                <w:sz w:val="32"/>
                <w:szCs w:val="32"/>
              </w:rPr>
            </w:pPr>
            <w:r w:rsidRPr="006F29F0">
              <w:rPr>
                <w:rFonts w:ascii="仿宋" w:eastAsia="仿宋" w:hAnsi="仿宋" w:cs="仿宋_GB2312" w:hint="eastAsia"/>
                <w:sz w:val="32"/>
                <w:szCs w:val="32"/>
              </w:rPr>
              <w:t>姓名</w:t>
            </w:r>
          </w:p>
        </w:tc>
        <w:tc>
          <w:tcPr>
            <w:tcW w:w="3402" w:type="dxa"/>
          </w:tcPr>
          <w:p w:rsidR="006F29F0" w:rsidRPr="006F29F0" w:rsidRDefault="006F29F0" w:rsidP="006F29F0">
            <w:pPr>
              <w:spacing w:line="360" w:lineRule="auto"/>
              <w:ind w:firstLineChars="200" w:firstLine="640"/>
              <w:jc w:val="center"/>
              <w:rPr>
                <w:rFonts w:ascii="仿宋" w:eastAsia="仿宋" w:hAnsi="仿宋" w:cs="仿宋_GB2312"/>
                <w:sz w:val="32"/>
                <w:szCs w:val="32"/>
              </w:rPr>
            </w:pPr>
            <w:r w:rsidRPr="006F29F0">
              <w:rPr>
                <w:rFonts w:ascii="仿宋" w:eastAsia="仿宋" w:hAnsi="仿宋" w:cs="仿宋_GB2312" w:hint="eastAsia"/>
                <w:sz w:val="32"/>
                <w:szCs w:val="32"/>
              </w:rPr>
              <w:t>单位</w:t>
            </w:r>
          </w:p>
        </w:tc>
        <w:tc>
          <w:tcPr>
            <w:tcW w:w="2791" w:type="dxa"/>
          </w:tcPr>
          <w:p w:rsidR="006F29F0" w:rsidRPr="006F29F0" w:rsidRDefault="006F29F0" w:rsidP="006F29F0">
            <w:pPr>
              <w:spacing w:line="360" w:lineRule="auto"/>
              <w:ind w:firstLineChars="200" w:firstLine="640"/>
              <w:rPr>
                <w:rFonts w:ascii="仿宋" w:eastAsia="仿宋" w:hAnsi="仿宋" w:cs="仿宋_GB2312"/>
                <w:sz w:val="32"/>
                <w:szCs w:val="32"/>
              </w:rPr>
            </w:pPr>
            <w:r w:rsidRPr="006F29F0">
              <w:rPr>
                <w:rFonts w:ascii="仿宋" w:eastAsia="仿宋" w:hAnsi="仿宋" w:cs="仿宋_GB2312" w:hint="eastAsia"/>
                <w:sz w:val="32"/>
                <w:szCs w:val="32"/>
              </w:rPr>
              <w:t>职务/职称</w:t>
            </w:r>
          </w:p>
        </w:tc>
      </w:tr>
      <w:tr w:rsidR="006F29F0" w:rsidRPr="006F29F0" w:rsidTr="00462456">
        <w:trPr>
          <w:trHeight w:val="317"/>
          <w:jc w:val="center"/>
        </w:trPr>
        <w:tc>
          <w:tcPr>
            <w:tcW w:w="1375" w:type="dxa"/>
          </w:tcPr>
          <w:p w:rsidR="006F29F0" w:rsidRPr="006F29F0" w:rsidRDefault="006F29F0" w:rsidP="006F29F0">
            <w:pPr>
              <w:spacing w:line="360" w:lineRule="auto"/>
              <w:jc w:val="center"/>
              <w:rPr>
                <w:rFonts w:ascii="仿宋" w:eastAsia="仿宋" w:hAnsi="仿宋" w:cs="仿宋_GB2312"/>
                <w:sz w:val="32"/>
                <w:szCs w:val="32"/>
              </w:rPr>
            </w:pPr>
            <w:r w:rsidRPr="006F29F0">
              <w:rPr>
                <w:rFonts w:ascii="仿宋" w:eastAsia="仿宋" w:hAnsi="仿宋" w:cs="仿宋_GB2312" w:hint="eastAsia"/>
                <w:sz w:val="32"/>
                <w:szCs w:val="32"/>
              </w:rPr>
              <w:t>马蔡琛</w:t>
            </w:r>
          </w:p>
        </w:tc>
        <w:tc>
          <w:tcPr>
            <w:tcW w:w="3402" w:type="dxa"/>
          </w:tcPr>
          <w:p w:rsidR="006F29F0" w:rsidRPr="006F29F0" w:rsidRDefault="006F29F0" w:rsidP="006F29F0">
            <w:pPr>
              <w:spacing w:line="360" w:lineRule="auto"/>
              <w:jc w:val="center"/>
              <w:rPr>
                <w:rFonts w:ascii="仿宋" w:eastAsia="仿宋" w:hAnsi="仿宋" w:cs="仿宋_GB2312"/>
                <w:sz w:val="32"/>
                <w:szCs w:val="32"/>
              </w:rPr>
            </w:pPr>
            <w:r w:rsidRPr="006F29F0">
              <w:rPr>
                <w:rFonts w:ascii="仿宋" w:eastAsia="仿宋" w:hAnsi="仿宋" w:cs="仿宋_GB2312" w:hint="eastAsia"/>
                <w:sz w:val="32"/>
                <w:szCs w:val="32"/>
              </w:rPr>
              <w:t>南开大学</w:t>
            </w:r>
          </w:p>
        </w:tc>
        <w:tc>
          <w:tcPr>
            <w:tcW w:w="2791" w:type="dxa"/>
          </w:tcPr>
          <w:p w:rsidR="006F29F0" w:rsidRPr="006F29F0" w:rsidRDefault="006F29F0" w:rsidP="006F29F0">
            <w:pPr>
              <w:spacing w:line="360" w:lineRule="auto"/>
              <w:jc w:val="center"/>
              <w:rPr>
                <w:rFonts w:ascii="仿宋" w:eastAsia="仿宋" w:hAnsi="仿宋" w:cs="仿宋_GB2312"/>
                <w:sz w:val="32"/>
                <w:szCs w:val="32"/>
              </w:rPr>
            </w:pPr>
            <w:r w:rsidRPr="006F29F0">
              <w:rPr>
                <w:rFonts w:ascii="仿宋" w:eastAsia="仿宋" w:hAnsi="仿宋" w:cs="仿宋_GB2312" w:hint="eastAsia"/>
                <w:sz w:val="32"/>
                <w:szCs w:val="32"/>
              </w:rPr>
              <w:t>教授（省外）</w:t>
            </w:r>
          </w:p>
        </w:tc>
      </w:tr>
      <w:tr w:rsidR="006F29F0" w:rsidRPr="006F29F0" w:rsidTr="00462456">
        <w:trPr>
          <w:trHeight w:val="424"/>
          <w:jc w:val="center"/>
        </w:trPr>
        <w:tc>
          <w:tcPr>
            <w:tcW w:w="1375" w:type="dxa"/>
          </w:tcPr>
          <w:p w:rsidR="006F29F0" w:rsidRPr="006F29F0" w:rsidRDefault="006F29F0" w:rsidP="006F29F0">
            <w:pPr>
              <w:spacing w:line="360" w:lineRule="auto"/>
              <w:jc w:val="center"/>
              <w:rPr>
                <w:rFonts w:ascii="仿宋" w:eastAsia="仿宋" w:hAnsi="仿宋" w:cs="仿宋_GB2312"/>
                <w:sz w:val="32"/>
                <w:szCs w:val="32"/>
              </w:rPr>
            </w:pPr>
            <w:proofErr w:type="gramStart"/>
            <w:r w:rsidRPr="006F29F0">
              <w:rPr>
                <w:rFonts w:ascii="仿宋" w:eastAsia="仿宋" w:hAnsi="仿宋" w:cs="仿宋_GB2312" w:hint="eastAsia"/>
                <w:sz w:val="32"/>
                <w:szCs w:val="32"/>
              </w:rPr>
              <w:t>刘穷志</w:t>
            </w:r>
            <w:proofErr w:type="gramEnd"/>
          </w:p>
        </w:tc>
        <w:tc>
          <w:tcPr>
            <w:tcW w:w="3402" w:type="dxa"/>
          </w:tcPr>
          <w:p w:rsidR="006F29F0" w:rsidRPr="006F29F0" w:rsidRDefault="006F29F0" w:rsidP="006F29F0">
            <w:pPr>
              <w:spacing w:line="360" w:lineRule="auto"/>
              <w:jc w:val="center"/>
              <w:rPr>
                <w:rFonts w:ascii="仿宋" w:eastAsia="仿宋" w:hAnsi="仿宋" w:cs="仿宋_GB2312"/>
                <w:sz w:val="32"/>
                <w:szCs w:val="32"/>
              </w:rPr>
            </w:pPr>
            <w:r w:rsidRPr="006F29F0">
              <w:rPr>
                <w:rFonts w:ascii="仿宋" w:eastAsia="仿宋" w:hAnsi="仿宋" w:cs="仿宋_GB2312" w:hint="eastAsia"/>
                <w:sz w:val="32"/>
                <w:szCs w:val="32"/>
              </w:rPr>
              <w:t>武汉大学</w:t>
            </w:r>
          </w:p>
        </w:tc>
        <w:tc>
          <w:tcPr>
            <w:tcW w:w="2791" w:type="dxa"/>
          </w:tcPr>
          <w:p w:rsidR="006F29F0" w:rsidRPr="006F29F0" w:rsidRDefault="006F29F0" w:rsidP="006F29F0">
            <w:pPr>
              <w:spacing w:line="360" w:lineRule="auto"/>
              <w:jc w:val="center"/>
              <w:rPr>
                <w:rFonts w:ascii="仿宋" w:eastAsia="仿宋" w:hAnsi="仿宋" w:cs="仿宋_GB2312"/>
                <w:sz w:val="32"/>
                <w:szCs w:val="32"/>
              </w:rPr>
            </w:pPr>
            <w:r w:rsidRPr="006F29F0">
              <w:rPr>
                <w:rFonts w:ascii="仿宋" w:eastAsia="仿宋" w:hAnsi="仿宋" w:cs="仿宋_GB2312" w:hint="eastAsia"/>
                <w:sz w:val="32"/>
                <w:szCs w:val="32"/>
              </w:rPr>
              <w:t>教授（省外）</w:t>
            </w:r>
          </w:p>
        </w:tc>
      </w:tr>
      <w:tr w:rsidR="006F29F0" w:rsidRPr="006F29F0" w:rsidTr="00462456">
        <w:trPr>
          <w:trHeight w:val="416"/>
          <w:jc w:val="center"/>
        </w:trPr>
        <w:tc>
          <w:tcPr>
            <w:tcW w:w="1375" w:type="dxa"/>
          </w:tcPr>
          <w:p w:rsidR="006F29F0" w:rsidRPr="006F29F0" w:rsidRDefault="006F29F0" w:rsidP="006F29F0">
            <w:pPr>
              <w:spacing w:line="360" w:lineRule="auto"/>
              <w:jc w:val="center"/>
              <w:rPr>
                <w:rFonts w:ascii="仿宋" w:eastAsia="仿宋" w:hAnsi="仿宋" w:cs="仿宋_GB2312"/>
                <w:sz w:val="32"/>
                <w:szCs w:val="32"/>
              </w:rPr>
            </w:pPr>
            <w:r w:rsidRPr="006F29F0">
              <w:rPr>
                <w:rFonts w:ascii="仿宋" w:eastAsia="仿宋" w:hAnsi="仿宋" w:cs="仿宋_GB2312" w:hint="eastAsia"/>
                <w:sz w:val="32"/>
                <w:szCs w:val="32"/>
              </w:rPr>
              <w:t>姚凤民</w:t>
            </w:r>
          </w:p>
        </w:tc>
        <w:tc>
          <w:tcPr>
            <w:tcW w:w="3402" w:type="dxa"/>
          </w:tcPr>
          <w:p w:rsidR="006F29F0" w:rsidRPr="006F29F0" w:rsidRDefault="006F29F0" w:rsidP="006F29F0">
            <w:pPr>
              <w:spacing w:line="360" w:lineRule="auto"/>
              <w:jc w:val="center"/>
              <w:rPr>
                <w:rFonts w:ascii="仿宋" w:eastAsia="仿宋" w:hAnsi="仿宋" w:cs="仿宋_GB2312"/>
                <w:sz w:val="32"/>
                <w:szCs w:val="32"/>
              </w:rPr>
            </w:pPr>
            <w:r w:rsidRPr="006F29F0">
              <w:rPr>
                <w:rFonts w:ascii="仿宋" w:eastAsia="仿宋" w:hAnsi="仿宋" w:cs="仿宋_GB2312" w:hint="eastAsia"/>
                <w:sz w:val="32"/>
                <w:szCs w:val="32"/>
              </w:rPr>
              <w:t>广东财经大学</w:t>
            </w:r>
          </w:p>
        </w:tc>
        <w:tc>
          <w:tcPr>
            <w:tcW w:w="2791" w:type="dxa"/>
          </w:tcPr>
          <w:p w:rsidR="006F29F0" w:rsidRPr="006F29F0" w:rsidRDefault="006F29F0" w:rsidP="006F29F0">
            <w:pPr>
              <w:spacing w:line="360" w:lineRule="auto"/>
              <w:jc w:val="center"/>
              <w:rPr>
                <w:rFonts w:ascii="仿宋" w:eastAsia="仿宋" w:hAnsi="仿宋" w:cs="仿宋_GB2312"/>
                <w:sz w:val="32"/>
                <w:szCs w:val="32"/>
              </w:rPr>
            </w:pPr>
            <w:r w:rsidRPr="006F29F0">
              <w:rPr>
                <w:rFonts w:ascii="仿宋" w:eastAsia="仿宋" w:hAnsi="仿宋" w:cs="仿宋_GB2312" w:hint="eastAsia"/>
                <w:sz w:val="32"/>
                <w:szCs w:val="32"/>
              </w:rPr>
              <w:t>教授</w:t>
            </w:r>
          </w:p>
        </w:tc>
      </w:tr>
      <w:tr w:rsidR="006F29F0" w:rsidRPr="006F29F0" w:rsidTr="00462456">
        <w:trPr>
          <w:trHeight w:val="407"/>
          <w:jc w:val="center"/>
        </w:trPr>
        <w:tc>
          <w:tcPr>
            <w:tcW w:w="1375" w:type="dxa"/>
          </w:tcPr>
          <w:p w:rsidR="006F29F0" w:rsidRPr="006F29F0" w:rsidRDefault="006F29F0" w:rsidP="006F29F0">
            <w:pPr>
              <w:spacing w:line="360" w:lineRule="auto"/>
              <w:jc w:val="center"/>
              <w:rPr>
                <w:rFonts w:ascii="仿宋" w:eastAsia="仿宋" w:hAnsi="仿宋" w:cs="仿宋_GB2312"/>
                <w:sz w:val="32"/>
                <w:szCs w:val="32"/>
              </w:rPr>
            </w:pPr>
            <w:r w:rsidRPr="006F29F0">
              <w:rPr>
                <w:rFonts w:ascii="仿宋" w:eastAsia="仿宋" w:hAnsi="仿宋" w:cs="仿宋_GB2312" w:hint="eastAsia"/>
                <w:sz w:val="32"/>
                <w:szCs w:val="32"/>
              </w:rPr>
              <w:t>罗志恒</w:t>
            </w:r>
          </w:p>
        </w:tc>
        <w:tc>
          <w:tcPr>
            <w:tcW w:w="3402" w:type="dxa"/>
          </w:tcPr>
          <w:p w:rsidR="006F29F0" w:rsidRPr="006F29F0" w:rsidRDefault="006F29F0" w:rsidP="006F29F0">
            <w:pPr>
              <w:spacing w:line="360" w:lineRule="auto"/>
              <w:jc w:val="center"/>
              <w:rPr>
                <w:rFonts w:ascii="仿宋" w:eastAsia="仿宋" w:hAnsi="仿宋" w:cs="仿宋_GB2312"/>
                <w:sz w:val="32"/>
                <w:szCs w:val="32"/>
              </w:rPr>
            </w:pPr>
            <w:proofErr w:type="gramStart"/>
            <w:r w:rsidRPr="006F29F0">
              <w:rPr>
                <w:rFonts w:ascii="仿宋" w:eastAsia="仿宋" w:hAnsi="仿宋" w:cs="仿宋_GB2312" w:hint="eastAsia"/>
                <w:sz w:val="32"/>
                <w:szCs w:val="32"/>
              </w:rPr>
              <w:t>粤开证券</w:t>
            </w:r>
            <w:proofErr w:type="gramEnd"/>
          </w:p>
        </w:tc>
        <w:tc>
          <w:tcPr>
            <w:tcW w:w="2791" w:type="dxa"/>
          </w:tcPr>
          <w:p w:rsidR="006F29F0" w:rsidRPr="006F29F0" w:rsidRDefault="006F29F0" w:rsidP="006F29F0">
            <w:pPr>
              <w:spacing w:line="360" w:lineRule="auto"/>
              <w:jc w:val="center"/>
              <w:rPr>
                <w:rFonts w:ascii="仿宋" w:eastAsia="仿宋" w:hAnsi="仿宋" w:cs="仿宋_GB2312"/>
                <w:sz w:val="32"/>
                <w:szCs w:val="32"/>
              </w:rPr>
            </w:pPr>
            <w:r w:rsidRPr="006F29F0">
              <w:rPr>
                <w:rFonts w:ascii="仿宋" w:eastAsia="仿宋" w:hAnsi="仿宋" w:cs="仿宋_GB2312" w:hint="eastAsia"/>
                <w:sz w:val="32"/>
                <w:szCs w:val="32"/>
              </w:rPr>
              <w:t>研究院院长（省外）</w:t>
            </w:r>
          </w:p>
        </w:tc>
      </w:tr>
      <w:tr w:rsidR="006F29F0" w:rsidRPr="006F29F0" w:rsidTr="00462456">
        <w:trPr>
          <w:trHeight w:val="413"/>
          <w:jc w:val="center"/>
        </w:trPr>
        <w:tc>
          <w:tcPr>
            <w:tcW w:w="1375" w:type="dxa"/>
          </w:tcPr>
          <w:p w:rsidR="006F29F0" w:rsidRPr="006F29F0" w:rsidRDefault="006F29F0" w:rsidP="006F29F0">
            <w:pPr>
              <w:spacing w:line="360" w:lineRule="auto"/>
              <w:jc w:val="center"/>
              <w:rPr>
                <w:rFonts w:ascii="仿宋" w:eastAsia="仿宋" w:hAnsi="仿宋" w:cs="仿宋_GB2312"/>
                <w:sz w:val="32"/>
                <w:szCs w:val="32"/>
              </w:rPr>
            </w:pPr>
            <w:r w:rsidRPr="006F29F0">
              <w:rPr>
                <w:rFonts w:ascii="仿宋" w:eastAsia="仿宋" w:hAnsi="仿宋" w:cs="仿宋_GB2312" w:hint="eastAsia"/>
                <w:sz w:val="32"/>
                <w:szCs w:val="32"/>
              </w:rPr>
              <w:t>黄一鸣</w:t>
            </w:r>
          </w:p>
        </w:tc>
        <w:tc>
          <w:tcPr>
            <w:tcW w:w="3402" w:type="dxa"/>
          </w:tcPr>
          <w:p w:rsidR="006F29F0" w:rsidRPr="006F29F0" w:rsidRDefault="006F29F0" w:rsidP="006F29F0">
            <w:pPr>
              <w:spacing w:line="360" w:lineRule="auto"/>
              <w:jc w:val="center"/>
              <w:rPr>
                <w:rFonts w:ascii="仿宋" w:eastAsia="仿宋" w:hAnsi="仿宋" w:cs="仿宋_GB2312"/>
                <w:sz w:val="32"/>
                <w:szCs w:val="32"/>
              </w:rPr>
            </w:pPr>
            <w:r w:rsidRPr="006F29F0">
              <w:rPr>
                <w:rFonts w:ascii="仿宋" w:eastAsia="仿宋" w:hAnsi="仿宋" w:cs="仿宋_GB2312" w:hint="eastAsia"/>
                <w:sz w:val="32"/>
                <w:szCs w:val="32"/>
              </w:rPr>
              <w:t>普华永道咨询（深圳）有限公司</w:t>
            </w:r>
          </w:p>
          <w:p w:rsidR="006F29F0" w:rsidRPr="006F29F0" w:rsidRDefault="006F29F0" w:rsidP="006F29F0">
            <w:pPr>
              <w:spacing w:line="360" w:lineRule="auto"/>
              <w:jc w:val="center"/>
              <w:rPr>
                <w:rFonts w:ascii="仿宋" w:eastAsia="仿宋" w:hAnsi="仿宋" w:cs="仿宋_GB2312"/>
                <w:sz w:val="32"/>
                <w:szCs w:val="32"/>
              </w:rPr>
            </w:pPr>
            <w:r w:rsidRPr="006F29F0">
              <w:rPr>
                <w:rFonts w:ascii="仿宋" w:eastAsia="仿宋" w:hAnsi="仿宋" w:cs="仿宋_GB2312" w:hint="eastAsia"/>
                <w:sz w:val="32"/>
                <w:szCs w:val="32"/>
              </w:rPr>
              <w:t>广州分公司税务部</w:t>
            </w:r>
          </w:p>
        </w:tc>
        <w:tc>
          <w:tcPr>
            <w:tcW w:w="2791" w:type="dxa"/>
          </w:tcPr>
          <w:p w:rsidR="006F29F0" w:rsidRPr="006F29F0" w:rsidRDefault="006F29F0" w:rsidP="006F29F0">
            <w:pPr>
              <w:spacing w:line="360" w:lineRule="auto"/>
              <w:jc w:val="center"/>
              <w:rPr>
                <w:rFonts w:ascii="仿宋" w:eastAsia="仿宋" w:hAnsi="仿宋" w:cs="仿宋_GB2312"/>
                <w:sz w:val="32"/>
                <w:szCs w:val="32"/>
              </w:rPr>
            </w:pPr>
            <w:r w:rsidRPr="006F29F0">
              <w:rPr>
                <w:rFonts w:ascii="仿宋" w:eastAsia="仿宋" w:hAnsi="仿宋" w:cs="仿宋_GB2312" w:hint="eastAsia"/>
                <w:sz w:val="32"/>
                <w:szCs w:val="32"/>
              </w:rPr>
              <w:t>高级合伙人</w:t>
            </w:r>
          </w:p>
        </w:tc>
      </w:tr>
    </w:tbl>
    <w:p w:rsidR="006F29F0" w:rsidRPr="006F29F0" w:rsidRDefault="006F29F0" w:rsidP="006F29F0">
      <w:pPr>
        <w:adjustRightInd w:val="0"/>
        <w:spacing w:line="540" w:lineRule="exact"/>
        <w:textAlignment w:val="baseline"/>
        <w:rPr>
          <w:rFonts w:ascii="仿宋" w:eastAsia="仿宋" w:hAnsi="仿宋" w:cs="仿宋_GB2312"/>
          <w:sz w:val="32"/>
          <w:szCs w:val="32"/>
        </w:rPr>
      </w:pPr>
    </w:p>
    <w:p w:rsidR="006F29F0" w:rsidRPr="006F29F0" w:rsidRDefault="006F29F0" w:rsidP="006F29F0">
      <w:pPr>
        <w:spacing w:line="360" w:lineRule="auto"/>
        <w:ind w:firstLineChars="200" w:firstLine="640"/>
        <w:rPr>
          <w:rFonts w:ascii="仿宋" w:eastAsia="仿宋" w:hAnsi="仿宋" w:cs="仿宋_GB2312"/>
          <w:sz w:val="32"/>
          <w:szCs w:val="32"/>
        </w:rPr>
      </w:pPr>
      <w:r w:rsidRPr="006F29F0">
        <w:rPr>
          <w:rFonts w:ascii="仿宋" w:eastAsia="仿宋" w:hAnsi="仿宋" w:cs="仿宋_GB2312" w:hint="eastAsia"/>
          <w:sz w:val="32"/>
          <w:szCs w:val="32"/>
        </w:rPr>
        <w:t>2. 同行专家对本学位授权点的意见</w:t>
      </w:r>
    </w:p>
    <w:p w:rsidR="006F29F0" w:rsidRPr="006F29F0" w:rsidRDefault="006F29F0" w:rsidP="006F29F0">
      <w:pPr>
        <w:spacing w:line="360" w:lineRule="auto"/>
        <w:ind w:firstLineChars="200" w:firstLine="640"/>
        <w:rPr>
          <w:rFonts w:ascii="仿宋" w:eastAsia="仿宋" w:hAnsi="仿宋" w:cs="仿宋_GB2312"/>
          <w:sz w:val="32"/>
          <w:szCs w:val="32"/>
        </w:rPr>
      </w:pPr>
      <w:r w:rsidRPr="006F29F0">
        <w:rPr>
          <w:rFonts w:ascii="仿宋" w:eastAsia="仿宋" w:hAnsi="仿宋" w:cs="仿宋_GB2312" w:hint="eastAsia"/>
          <w:sz w:val="32"/>
          <w:szCs w:val="32"/>
        </w:rPr>
        <w:t>专家组一致同意暨南大学税务硕士学位授权点通过周期性合格评估。</w:t>
      </w:r>
    </w:p>
    <w:p w:rsidR="006F29F0" w:rsidRPr="006F29F0" w:rsidRDefault="006F29F0" w:rsidP="006F29F0">
      <w:pPr>
        <w:spacing w:line="360" w:lineRule="auto"/>
        <w:ind w:firstLineChars="200" w:firstLine="640"/>
        <w:rPr>
          <w:rFonts w:ascii="仿宋" w:eastAsia="仿宋" w:hAnsi="仿宋" w:cs="仿宋_GB2312"/>
          <w:sz w:val="32"/>
          <w:szCs w:val="32"/>
        </w:rPr>
      </w:pPr>
      <w:r w:rsidRPr="006F29F0">
        <w:rPr>
          <w:rFonts w:ascii="仿宋" w:eastAsia="仿宋" w:hAnsi="仿宋" w:cs="仿宋_GB2312" w:hint="eastAsia"/>
          <w:sz w:val="32"/>
          <w:szCs w:val="32"/>
        </w:rPr>
        <w:t>专家组认为，暨南大学税务硕士专业学位授权点作为全国首批获批的税务硕士学位授权点，建设时间较长，学科与专业的影响力日渐增加。财税系有从本科财政学、税收学学位授权点到财政学研究生科学学位、税务硕士学位以及财政学博士学位授权点，培养过程较为完善。</w:t>
      </w:r>
    </w:p>
    <w:p w:rsidR="006F29F0" w:rsidRPr="006F29F0" w:rsidRDefault="006F29F0" w:rsidP="006F29F0">
      <w:pPr>
        <w:spacing w:line="360" w:lineRule="auto"/>
        <w:ind w:firstLineChars="200" w:firstLine="640"/>
        <w:rPr>
          <w:rFonts w:ascii="仿宋" w:eastAsia="仿宋" w:hAnsi="仿宋" w:cs="仿宋_GB2312"/>
          <w:sz w:val="32"/>
          <w:szCs w:val="32"/>
        </w:rPr>
      </w:pPr>
      <w:r w:rsidRPr="006F29F0">
        <w:rPr>
          <w:rFonts w:ascii="仿宋" w:eastAsia="仿宋" w:hAnsi="仿宋" w:cs="仿宋_GB2312" w:hint="eastAsia"/>
          <w:sz w:val="32"/>
          <w:szCs w:val="32"/>
        </w:rPr>
        <w:t>存在的主要问题与不足表现在以下几个方面：一是从培养方案的课程设置来看，没能突出现阶段企业出海的需求。二是侨校特色除了《港澳台税制》外，没有在其他课程中得到体现，例如缺乏东南亚、南美、中东、非洲等相关税务知识。三是案例教学、案例研究论文应进一步强化。</w:t>
      </w:r>
    </w:p>
    <w:p w:rsidR="006F29F0" w:rsidRPr="006F29F0" w:rsidRDefault="006F29F0" w:rsidP="006F29F0">
      <w:pPr>
        <w:spacing w:line="360" w:lineRule="auto"/>
        <w:ind w:firstLineChars="200" w:firstLine="640"/>
        <w:rPr>
          <w:rFonts w:ascii="仿宋" w:eastAsia="仿宋" w:hAnsi="仿宋" w:cs="仿宋_GB2312"/>
          <w:sz w:val="32"/>
          <w:szCs w:val="32"/>
        </w:rPr>
      </w:pPr>
      <w:r w:rsidRPr="006F29F0">
        <w:rPr>
          <w:rFonts w:ascii="仿宋" w:eastAsia="仿宋" w:hAnsi="仿宋" w:cs="仿宋_GB2312" w:hint="eastAsia"/>
          <w:sz w:val="32"/>
          <w:szCs w:val="32"/>
        </w:rPr>
        <w:t>专家组提出了以下几点改进建议：一是在《国际税收》及相关课程中突出现阶段企业出海的需求。二是开设讨论东南亚、南美、中东、非洲等地区税收知识的涉税课程。三是是强化案例教学，甚至呼吁</w:t>
      </w:r>
      <w:proofErr w:type="gramStart"/>
      <w:r w:rsidRPr="006F29F0">
        <w:rPr>
          <w:rFonts w:ascii="仿宋" w:eastAsia="仿宋" w:hAnsi="仿宋" w:cs="仿宋_GB2312" w:hint="eastAsia"/>
          <w:sz w:val="32"/>
          <w:szCs w:val="32"/>
        </w:rPr>
        <w:t>税务教指委以</w:t>
      </w:r>
      <w:proofErr w:type="gramEnd"/>
      <w:r w:rsidRPr="006F29F0">
        <w:rPr>
          <w:rFonts w:ascii="仿宋" w:eastAsia="仿宋" w:hAnsi="仿宋" w:cs="仿宋_GB2312" w:hint="eastAsia"/>
          <w:sz w:val="32"/>
          <w:szCs w:val="32"/>
        </w:rPr>
        <w:t>更合适的方式替代论文写作。</w:t>
      </w:r>
    </w:p>
    <w:p w:rsidR="006F29F0" w:rsidRPr="006F29F0" w:rsidRDefault="006F29F0" w:rsidP="006F29F0">
      <w:pPr>
        <w:spacing w:line="360" w:lineRule="auto"/>
        <w:ind w:firstLineChars="200" w:firstLine="640"/>
        <w:rPr>
          <w:rFonts w:ascii="仿宋" w:eastAsia="仿宋" w:hAnsi="仿宋" w:cs="仿宋_GB2312"/>
          <w:sz w:val="32"/>
          <w:szCs w:val="32"/>
        </w:rPr>
      </w:pPr>
      <w:r w:rsidRPr="006F29F0">
        <w:rPr>
          <w:rFonts w:ascii="仿宋" w:eastAsia="仿宋" w:hAnsi="仿宋" w:cs="仿宋_GB2312" w:hint="eastAsia"/>
          <w:sz w:val="32"/>
          <w:szCs w:val="32"/>
        </w:rPr>
        <w:t>3. 专家评审意见的落实计划</w:t>
      </w:r>
    </w:p>
    <w:p w:rsidR="006F29F0" w:rsidRPr="006F29F0" w:rsidRDefault="006F29F0" w:rsidP="006F29F0">
      <w:pPr>
        <w:spacing w:line="360" w:lineRule="auto"/>
        <w:ind w:firstLineChars="200" w:firstLine="640"/>
        <w:rPr>
          <w:rFonts w:ascii="仿宋" w:eastAsia="仿宋" w:hAnsi="仿宋" w:cs="仿宋_GB2312"/>
          <w:sz w:val="32"/>
          <w:szCs w:val="32"/>
        </w:rPr>
      </w:pPr>
      <w:r w:rsidRPr="006F29F0">
        <w:rPr>
          <w:rFonts w:ascii="仿宋" w:eastAsia="仿宋" w:hAnsi="仿宋" w:cs="仿宋_GB2312" w:hint="eastAsia"/>
          <w:sz w:val="32"/>
          <w:szCs w:val="32"/>
        </w:rPr>
        <w:t>本学位授权点将在以后年度的建设过程中，逐一落实校外专家评审组的建议。</w:t>
      </w:r>
    </w:p>
    <w:p w:rsidR="006F29F0" w:rsidRPr="006F29F0" w:rsidRDefault="006F29F0" w:rsidP="006F29F0">
      <w:pPr>
        <w:adjustRightInd w:val="0"/>
        <w:spacing w:line="360" w:lineRule="auto"/>
        <w:ind w:firstLineChars="200" w:firstLine="640"/>
        <w:textAlignment w:val="baseline"/>
        <w:rPr>
          <w:rFonts w:ascii="仿宋" w:eastAsia="仿宋" w:hAnsi="仿宋" w:cs="仿宋_GB2312"/>
          <w:sz w:val="32"/>
          <w:szCs w:val="32"/>
        </w:rPr>
      </w:pPr>
    </w:p>
    <w:p w:rsidR="006F29F0" w:rsidRPr="006F29F0" w:rsidRDefault="006F29F0" w:rsidP="006F29F0">
      <w:pPr>
        <w:adjustRightInd w:val="0"/>
        <w:spacing w:line="360" w:lineRule="auto"/>
        <w:ind w:firstLineChars="196" w:firstLine="630"/>
        <w:textAlignment w:val="baseline"/>
        <w:rPr>
          <w:rFonts w:ascii="仿宋" w:eastAsia="仿宋" w:hAnsi="仿宋" w:cs="仿宋_GB2312"/>
          <w:b/>
          <w:sz w:val="32"/>
          <w:szCs w:val="32"/>
        </w:rPr>
      </w:pPr>
      <w:r w:rsidRPr="006F29F0">
        <w:rPr>
          <w:rFonts w:ascii="仿宋" w:eastAsia="仿宋" w:hAnsi="仿宋" w:cs="仿宋_GB2312"/>
          <w:b/>
          <w:sz w:val="32"/>
          <w:szCs w:val="32"/>
        </w:rPr>
        <w:t>三、持续改进</w:t>
      </w:r>
      <w:r w:rsidRPr="006F29F0">
        <w:rPr>
          <w:rFonts w:ascii="仿宋" w:eastAsia="仿宋" w:hAnsi="仿宋" w:cs="仿宋_GB2312" w:hint="eastAsia"/>
          <w:b/>
          <w:sz w:val="32"/>
          <w:szCs w:val="32"/>
        </w:rPr>
        <w:t>计划</w:t>
      </w:r>
    </w:p>
    <w:p w:rsidR="006F29F0" w:rsidRPr="006F29F0" w:rsidRDefault="006F29F0" w:rsidP="006F29F0">
      <w:pPr>
        <w:adjustRightInd w:val="0"/>
        <w:snapToGrid w:val="0"/>
        <w:spacing w:line="360" w:lineRule="auto"/>
        <w:ind w:firstLineChars="200" w:firstLine="640"/>
        <w:textAlignment w:val="baseline"/>
        <w:rPr>
          <w:rFonts w:ascii="仿宋" w:eastAsia="仿宋" w:hAnsi="仿宋" w:cs="仿宋_GB2312"/>
          <w:sz w:val="32"/>
          <w:szCs w:val="32"/>
        </w:rPr>
      </w:pPr>
      <w:r w:rsidRPr="006F29F0">
        <w:rPr>
          <w:rFonts w:ascii="仿宋" w:eastAsia="仿宋" w:hAnsi="仿宋" w:cs="仿宋_GB2312" w:hint="eastAsia"/>
          <w:sz w:val="32"/>
          <w:szCs w:val="32"/>
        </w:rPr>
        <w:t>（一）呼吁有关部门制定国家机关、企事业单位人员担任校外导师的政策制度，拓宽校外导师选拔范围</w:t>
      </w:r>
    </w:p>
    <w:p w:rsidR="006F29F0" w:rsidRPr="006F29F0" w:rsidRDefault="006F29F0" w:rsidP="006F29F0">
      <w:pPr>
        <w:adjustRightInd w:val="0"/>
        <w:snapToGrid w:val="0"/>
        <w:spacing w:line="360" w:lineRule="auto"/>
        <w:ind w:firstLineChars="200" w:firstLine="640"/>
        <w:textAlignment w:val="baseline"/>
        <w:rPr>
          <w:rFonts w:ascii="仿宋" w:eastAsia="仿宋" w:hAnsi="仿宋" w:cs="仿宋_GB2312"/>
          <w:sz w:val="32"/>
          <w:szCs w:val="32"/>
        </w:rPr>
      </w:pPr>
      <w:r w:rsidRPr="006F29F0">
        <w:rPr>
          <w:rFonts w:ascii="仿宋" w:eastAsia="仿宋" w:hAnsi="仿宋" w:cs="仿宋_GB2312" w:hint="eastAsia"/>
          <w:sz w:val="32"/>
          <w:szCs w:val="32"/>
        </w:rPr>
        <w:t>税务硕士部分毕业生的就业方向是税务系统和国有企业，但最近几年由于相关部门禁止工作人员担任高校校外导师，导致之前聘任的导师陆续退出实践导师队伍。我们呼吁国家避免“一刀切”，由国家机关、企事业单位等机构部门在加强组织纪律把关的基础上，允许并鼓励相关行业人员担任院校教育领域的校外导师。校外导师队伍路径的拓宽需要争取国家、各行业机构、院校三方给予政策层面的支持，破除阻碍税务硕士校外导师队伍选拔的路径壁垒。</w:t>
      </w:r>
    </w:p>
    <w:p w:rsidR="006F29F0" w:rsidRPr="006F29F0" w:rsidRDefault="006F29F0" w:rsidP="006F29F0">
      <w:pPr>
        <w:adjustRightInd w:val="0"/>
        <w:snapToGrid w:val="0"/>
        <w:spacing w:line="360" w:lineRule="auto"/>
        <w:ind w:firstLineChars="200" w:firstLine="640"/>
        <w:textAlignment w:val="baseline"/>
        <w:rPr>
          <w:rFonts w:ascii="仿宋" w:eastAsia="仿宋" w:hAnsi="仿宋" w:cs="仿宋_GB2312"/>
          <w:sz w:val="32"/>
          <w:szCs w:val="32"/>
        </w:rPr>
      </w:pPr>
      <w:r w:rsidRPr="006F29F0">
        <w:rPr>
          <w:rFonts w:ascii="仿宋" w:eastAsia="仿宋" w:hAnsi="仿宋" w:cs="仿宋_GB2312" w:hint="eastAsia"/>
          <w:sz w:val="32"/>
          <w:szCs w:val="32"/>
        </w:rPr>
        <w:t>（二）与普华永道税务部等校外实践基地洽谈更深层次的合作</w:t>
      </w:r>
    </w:p>
    <w:p w:rsidR="006F29F0" w:rsidRPr="006F29F0" w:rsidRDefault="006F29F0" w:rsidP="006F29F0">
      <w:pPr>
        <w:adjustRightInd w:val="0"/>
        <w:snapToGrid w:val="0"/>
        <w:spacing w:line="360" w:lineRule="auto"/>
        <w:ind w:leftChars="50" w:left="105" w:firstLineChars="150" w:firstLine="480"/>
        <w:textAlignment w:val="baseline"/>
        <w:rPr>
          <w:rFonts w:ascii="仿宋" w:eastAsia="仿宋" w:hAnsi="仿宋" w:cs="仿宋_GB2312"/>
          <w:sz w:val="32"/>
          <w:szCs w:val="32"/>
        </w:rPr>
      </w:pPr>
      <w:r w:rsidRPr="006F29F0">
        <w:rPr>
          <w:rFonts w:ascii="仿宋" w:eastAsia="仿宋" w:hAnsi="仿宋" w:cs="仿宋_GB2312" w:hint="eastAsia"/>
          <w:sz w:val="32"/>
          <w:szCs w:val="32"/>
        </w:rPr>
        <w:t>我们已于2024年12月启动也校外实践基地的深度合作。2024年12月12日，我们邀请了普华永道中国税务及商务咨询部的合伙人李铭先生和韦静雯女士，通过真实案例讨论海外投资风险管理的重要性，以及常见海外投资方式及关键税务</w:t>
      </w:r>
      <w:proofErr w:type="gramStart"/>
      <w:r w:rsidRPr="006F29F0">
        <w:rPr>
          <w:rFonts w:ascii="仿宋" w:eastAsia="仿宋" w:hAnsi="仿宋" w:cs="仿宋_GB2312" w:hint="eastAsia"/>
          <w:sz w:val="32"/>
          <w:szCs w:val="32"/>
        </w:rPr>
        <w:t>考量</w:t>
      </w:r>
      <w:proofErr w:type="gramEnd"/>
      <w:r w:rsidRPr="006F29F0">
        <w:rPr>
          <w:rFonts w:ascii="仿宋" w:eastAsia="仿宋" w:hAnsi="仿宋" w:cs="仿宋_GB2312" w:hint="eastAsia"/>
          <w:sz w:val="32"/>
          <w:szCs w:val="32"/>
        </w:rPr>
        <w:t>、企业海外投资的案例分享。未来我们计划根据税务实务进展和学生的需求，与其他校外导师和校外实践基地探讨如何在《行业前沿讲座》和《国际税收》课程中将类似案例分享做成系列讲座，并将分享的案例编成案例库。</w:t>
      </w:r>
    </w:p>
    <w:p w:rsidR="006F29F0" w:rsidRPr="006F29F0" w:rsidRDefault="006F29F0" w:rsidP="006F29F0">
      <w:pPr>
        <w:adjustRightInd w:val="0"/>
        <w:snapToGrid w:val="0"/>
        <w:spacing w:line="360" w:lineRule="auto"/>
        <w:ind w:firstLineChars="200" w:firstLine="640"/>
        <w:textAlignment w:val="baseline"/>
        <w:rPr>
          <w:rFonts w:ascii="仿宋" w:eastAsia="仿宋" w:hAnsi="仿宋" w:cs="仿宋_GB2312"/>
          <w:sz w:val="32"/>
          <w:szCs w:val="32"/>
        </w:rPr>
      </w:pPr>
      <w:r w:rsidRPr="006F29F0">
        <w:rPr>
          <w:rFonts w:ascii="仿宋" w:eastAsia="仿宋" w:hAnsi="仿宋" w:cs="仿宋_GB2312" w:hint="eastAsia"/>
          <w:sz w:val="32"/>
          <w:szCs w:val="32"/>
        </w:rPr>
        <w:t>（三）继续引进人才，适应专业学位培养目标对师资知识结构的要求</w:t>
      </w:r>
    </w:p>
    <w:p w:rsidR="006F29F0" w:rsidRPr="006F29F0" w:rsidRDefault="006F29F0" w:rsidP="006F29F0">
      <w:pPr>
        <w:adjustRightInd w:val="0"/>
        <w:snapToGrid w:val="0"/>
        <w:spacing w:line="360" w:lineRule="auto"/>
        <w:ind w:firstLineChars="200" w:firstLine="640"/>
        <w:textAlignment w:val="baseline"/>
        <w:rPr>
          <w:rFonts w:ascii="仿宋" w:eastAsia="仿宋" w:hAnsi="仿宋" w:cs="仿宋_GB2312"/>
          <w:sz w:val="32"/>
          <w:szCs w:val="32"/>
        </w:rPr>
      </w:pPr>
      <w:r w:rsidRPr="006F29F0">
        <w:rPr>
          <w:rFonts w:ascii="仿宋" w:eastAsia="仿宋" w:hAnsi="仿宋" w:cs="仿宋_GB2312" w:hint="eastAsia"/>
          <w:sz w:val="32"/>
          <w:szCs w:val="32"/>
        </w:rPr>
        <w:t>目前的研究型大学人才引进和绩效考核均以科研为导向，但税务硕士的培养以实践能力为主要，这客观上造成了师资的知识结构、工作重点与学生的需求之间的矛盾。未来我们计划在引进人才时考虑专业学位学生培养的要求，并通过教师培训、产学研结合等途径完善师资知识结构。</w:t>
      </w:r>
    </w:p>
    <w:p w:rsidR="002A0C0D" w:rsidRPr="006F29F0" w:rsidRDefault="002A0C0D"/>
    <w:sectPr w:rsidR="002A0C0D" w:rsidRPr="006F29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default"/>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B3D"/>
    <w:rsid w:val="00034B3D"/>
    <w:rsid w:val="002A0C0D"/>
    <w:rsid w:val="004D4470"/>
    <w:rsid w:val="006F29F0"/>
    <w:rsid w:val="00742622"/>
    <w:rsid w:val="00774589"/>
    <w:rsid w:val="00B33507"/>
    <w:rsid w:val="00E65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363</Words>
  <Characters>2075</Characters>
  <Application>Microsoft Office Word</Application>
  <DocSecurity>0</DocSecurity>
  <Lines>17</Lines>
  <Paragraphs>4</Paragraphs>
  <ScaleCrop>false</ScaleCrop>
  <Company/>
  <LinksUpToDate>false</LinksUpToDate>
  <CharactersWithSpaces>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3</cp:revision>
  <dcterms:created xsi:type="dcterms:W3CDTF">2025-03-12T08:38:00Z</dcterms:created>
  <dcterms:modified xsi:type="dcterms:W3CDTF">2025-03-12T08:47:00Z</dcterms:modified>
</cp:coreProperties>
</file>