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bookmarkStart w:id="0" w:name="_GoBack"/>
      <w:bookmarkEnd w:id="0"/>
    </w:p>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p>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p>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p>
    <w:p w:rsidR="00FE0B60" w:rsidRPr="00FE0B60" w:rsidRDefault="00875723" w:rsidP="00FE0B60">
      <w:pPr>
        <w:spacing w:after="156" w:line="300" w:lineRule="auto"/>
        <w:jc w:val="center"/>
        <w:textAlignment w:val="baseline"/>
        <w:rPr>
          <w:rFonts w:ascii="Times New Roman" w:eastAsia="方正小标宋简体" w:hAnsi="Times New Roman" w:cs="Times New Roman"/>
          <w:bCs/>
          <w:sz w:val="44"/>
          <w:szCs w:val="44"/>
        </w:rPr>
      </w:pPr>
      <w:r w:rsidRPr="00875723">
        <w:rPr>
          <w:rFonts w:ascii="Times New Roman" w:eastAsia="方正小标宋简体" w:hAnsi="Times New Roman" w:cs="Times New Roman" w:hint="eastAsia"/>
          <w:bCs/>
          <w:sz w:val="44"/>
          <w:szCs w:val="44"/>
        </w:rPr>
        <w:t>学位授权点质量建设年度报告</w:t>
      </w:r>
    </w:p>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r w:rsidRPr="00FE0B60">
        <w:rPr>
          <w:rFonts w:ascii="Times New Roman" w:eastAsia="方正小标宋简体" w:hAnsi="Times New Roman" w:cs="Times New Roman"/>
          <w:bCs/>
          <w:sz w:val="44"/>
          <w:szCs w:val="44"/>
        </w:rPr>
        <w:t>（</w:t>
      </w:r>
      <w:r w:rsidRPr="00FE0B60">
        <w:rPr>
          <w:rFonts w:ascii="Times New Roman" w:eastAsia="方正小标宋简体" w:hAnsi="Times New Roman" w:cs="Times New Roman"/>
          <w:bCs/>
          <w:sz w:val="44"/>
          <w:szCs w:val="44"/>
        </w:rPr>
        <w:t>2024</w:t>
      </w:r>
      <w:r w:rsidRPr="00FE0B60">
        <w:rPr>
          <w:rFonts w:ascii="Times New Roman" w:eastAsia="方正小标宋简体" w:hAnsi="Times New Roman" w:cs="Times New Roman" w:hint="eastAsia"/>
          <w:bCs/>
          <w:sz w:val="44"/>
          <w:szCs w:val="44"/>
        </w:rPr>
        <w:t>年</w:t>
      </w:r>
      <w:r w:rsidRPr="00FE0B60">
        <w:rPr>
          <w:rFonts w:ascii="Times New Roman" w:eastAsia="方正小标宋简体" w:hAnsi="Times New Roman" w:cs="Times New Roman"/>
          <w:bCs/>
          <w:sz w:val="44"/>
          <w:szCs w:val="44"/>
        </w:rPr>
        <w:t>）</w:t>
      </w:r>
    </w:p>
    <w:p w:rsidR="00FE0B60" w:rsidRPr="00FE0B60" w:rsidRDefault="00FE0B60" w:rsidP="00FE0B60">
      <w:pPr>
        <w:spacing w:after="156" w:line="300" w:lineRule="auto"/>
        <w:jc w:val="center"/>
        <w:textAlignment w:val="baseline"/>
        <w:rPr>
          <w:rFonts w:ascii="Times New Roman" w:eastAsia="方正小标宋简体" w:hAnsi="Times New Roman" w:cs="Times New Roman"/>
          <w:bCs/>
          <w:sz w:val="44"/>
          <w:szCs w:val="44"/>
        </w:rPr>
      </w:pPr>
    </w:p>
    <w:p w:rsidR="00FE0B60" w:rsidRPr="00FE0B60" w:rsidRDefault="00FE0B60" w:rsidP="00FE0B60">
      <w:pPr>
        <w:snapToGrid w:val="0"/>
        <w:spacing w:line="300" w:lineRule="auto"/>
        <w:jc w:val="center"/>
        <w:textAlignment w:val="baseline"/>
        <w:rPr>
          <w:rFonts w:ascii="Times New Roman" w:eastAsia="宋体" w:hAnsi="Times New Roman" w:cs="Times New Roman"/>
          <w:b/>
          <w:sz w:val="48"/>
          <w:szCs w:val="20"/>
        </w:rPr>
      </w:pPr>
    </w:p>
    <w:p w:rsidR="00FE0B60" w:rsidRPr="00FE0B60" w:rsidRDefault="00FE0B60" w:rsidP="00FE0B60">
      <w:pPr>
        <w:snapToGrid w:val="0"/>
        <w:spacing w:line="300" w:lineRule="auto"/>
        <w:jc w:val="center"/>
        <w:textAlignment w:val="baseline"/>
        <w:rPr>
          <w:rFonts w:ascii="Times New Roman" w:eastAsia="宋体" w:hAnsi="Times New Roman" w:cs="Times New Roman"/>
          <w:b/>
          <w:sz w:val="48"/>
          <w:szCs w:val="20"/>
        </w:rPr>
      </w:pPr>
    </w:p>
    <w:p w:rsidR="00FE0B60" w:rsidRPr="00FE0B60" w:rsidRDefault="00FE0B60" w:rsidP="00FE0B60">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FE0B60" w:rsidRPr="00FE0B60" w:rsidTr="00495041">
        <w:trPr>
          <w:trHeight w:val="794"/>
          <w:jc w:val="center"/>
        </w:trPr>
        <w:tc>
          <w:tcPr>
            <w:tcW w:w="1507" w:type="dxa"/>
            <w:vMerge w:val="restart"/>
            <w:tcBorders>
              <w:top w:val="nil"/>
              <w:left w:val="nil"/>
              <w:bottom w:val="single" w:sz="4" w:space="0" w:color="000000"/>
              <w:right w:val="single" w:sz="4" w:space="0" w:color="000000"/>
            </w:tcBorders>
            <w:vAlign w:val="center"/>
          </w:tcPr>
          <w:p w:rsidR="00FE0B60" w:rsidRPr="00FE0B60" w:rsidRDefault="00FE0B60" w:rsidP="00FE0B60">
            <w:pPr>
              <w:snapToGrid w:val="0"/>
              <w:spacing w:line="300" w:lineRule="auto"/>
              <w:jc w:val="center"/>
              <w:textAlignment w:val="baseline"/>
              <w:rPr>
                <w:rFonts w:ascii="Times New Roman" w:eastAsia="宋体" w:hAnsi="Times New Roman" w:cs="Times New Roman"/>
                <w:b/>
                <w:spacing w:val="-10"/>
                <w:sz w:val="32"/>
                <w:szCs w:val="32"/>
              </w:rPr>
            </w:pPr>
            <w:r w:rsidRPr="00FE0B60">
              <w:rPr>
                <w:rFonts w:ascii="Times New Roman" w:eastAsia="宋体" w:hAnsi="Times New Roman" w:cs="Times New Roman"/>
                <w:b/>
                <w:spacing w:val="-10"/>
                <w:sz w:val="32"/>
                <w:szCs w:val="32"/>
              </w:rPr>
              <w:t>高校</w:t>
            </w:r>
          </w:p>
          <w:p w:rsidR="00FE0B60" w:rsidRPr="00FE0B60" w:rsidRDefault="00FE0B60" w:rsidP="00FE0B60">
            <w:pPr>
              <w:snapToGrid w:val="0"/>
              <w:spacing w:line="300" w:lineRule="auto"/>
              <w:jc w:val="center"/>
              <w:textAlignment w:val="baseline"/>
              <w:rPr>
                <w:rFonts w:ascii="Times New Roman" w:eastAsia="宋体" w:hAnsi="Times New Roman" w:cs="Times New Roman"/>
                <w:b/>
                <w:spacing w:val="-10"/>
                <w:sz w:val="32"/>
                <w:szCs w:val="32"/>
              </w:rPr>
            </w:pPr>
            <w:r w:rsidRPr="00FE0B60">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FE0B60" w:rsidRPr="00FE0B60" w:rsidRDefault="00FE0B60" w:rsidP="00FE0B60">
            <w:pPr>
              <w:snapToGrid w:val="0"/>
              <w:spacing w:line="300" w:lineRule="auto"/>
              <w:textAlignment w:val="baseline"/>
              <w:rPr>
                <w:rFonts w:ascii="Times New Roman" w:eastAsia="宋体" w:hAnsi="Times New Roman" w:cs="Times New Roman"/>
                <w:b/>
                <w:spacing w:val="-10"/>
                <w:sz w:val="32"/>
                <w:szCs w:val="32"/>
              </w:rPr>
            </w:pPr>
            <w:r w:rsidRPr="00FE0B60">
              <w:rPr>
                <w:rFonts w:ascii="Times New Roman" w:eastAsia="宋体" w:hAnsi="Times New Roman" w:cs="Times New Roman"/>
                <w:b/>
                <w:spacing w:val="-10"/>
                <w:sz w:val="32"/>
                <w:szCs w:val="32"/>
              </w:rPr>
              <w:t>名称：</w:t>
            </w:r>
            <w:r w:rsidRPr="00FE0B60">
              <w:rPr>
                <w:rFonts w:ascii="Times New Roman" w:eastAsia="宋体" w:hAnsi="Times New Roman" w:cs="Times New Roman" w:hint="eastAsia"/>
                <w:b/>
                <w:spacing w:val="-10"/>
                <w:sz w:val="32"/>
                <w:szCs w:val="32"/>
              </w:rPr>
              <w:t>应用统计</w:t>
            </w:r>
          </w:p>
        </w:tc>
      </w:tr>
      <w:tr w:rsidR="00FE0B60" w:rsidRPr="00FE0B60" w:rsidTr="00495041">
        <w:trPr>
          <w:trHeight w:val="794"/>
          <w:jc w:val="center"/>
        </w:trPr>
        <w:tc>
          <w:tcPr>
            <w:tcW w:w="1507" w:type="dxa"/>
            <w:vMerge/>
            <w:tcBorders>
              <w:top w:val="single" w:sz="4" w:space="0" w:color="000000"/>
              <w:left w:val="nil"/>
              <w:bottom w:val="nil"/>
              <w:right w:val="single" w:sz="4" w:space="0" w:color="000000"/>
            </w:tcBorders>
            <w:vAlign w:val="center"/>
          </w:tcPr>
          <w:p w:rsidR="00FE0B60" w:rsidRPr="00FE0B60" w:rsidRDefault="00FE0B60" w:rsidP="00FE0B60">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FE0B60" w:rsidRPr="00FE0B60" w:rsidRDefault="00FE0B60" w:rsidP="00FE0B60">
            <w:pPr>
              <w:snapToGrid w:val="0"/>
              <w:spacing w:line="300" w:lineRule="auto"/>
              <w:textAlignment w:val="baseline"/>
              <w:rPr>
                <w:rFonts w:ascii="Times New Roman" w:eastAsia="宋体" w:hAnsi="Times New Roman" w:cs="Times New Roman"/>
                <w:b/>
                <w:spacing w:val="-10"/>
                <w:sz w:val="32"/>
                <w:szCs w:val="32"/>
              </w:rPr>
            </w:pPr>
            <w:r w:rsidRPr="00FE0B60">
              <w:rPr>
                <w:rFonts w:ascii="Times New Roman" w:eastAsia="宋体" w:hAnsi="Times New Roman" w:cs="Times New Roman"/>
                <w:b/>
                <w:spacing w:val="-10"/>
                <w:sz w:val="32"/>
                <w:szCs w:val="32"/>
              </w:rPr>
              <w:t>代码：</w:t>
            </w:r>
            <w:r w:rsidRPr="00FE0B60">
              <w:rPr>
                <w:rFonts w:ascii="Calibri" w:eastAsia="楷体_GB2312" w:hAnsi="Calibri" w:cs="Times New Roman"/>
                <w:b/>
                <w:sz w:val="30"/>
                <w:szCs w:val="30"/>
              </w:rPr>
              <w:t>025200</w:t>
            </w:r>
          </w:p>
        </w:tc>
      </w:tr>
    </w:tbl>
    <w:p w:rsidR="00FE0B60" w:rsidRPr="00FE0B60" w:rsidRDefault="00FE0B60" w:rsidP="00FE0B60">
      <w:pPr>
        <w:spacing w:line="600" w:lineRule="exact"/>
        <w:outlineLvl w:val="2"/>
        <w:rPr>
          <w:rFonts w:ascii="Times New Roman" w:eastAsia="楷体_GB2312" w:hAnsi="Times New Roman" w:cs="Times New Roman"/>
          <w:b/>
          <w:color w:val="000000"/>
          <w:sz w:val="30"/>
          <w:szCs w:val="30"/>
        </w:rPr>
      </w:pPr>
    </w:p>
    <w:p w:rsidR="00FE0B60" w:rsidRPr="00FE0B60" w:rsidRDefault="00FE0B60" w:rsidP="00FE0B60">
      <w:pPr>
        <w:rPr>
          <w:rFonts w:ascii="Times New Roman" w:eastAsia="楷体_GB2312" w:hAnsi="Times New Roman" w:cs="Times New Roman"/>
          <w:b/>
          <w:sz w:val="30"/>
          <w:szCs w:val="30"/>
        </w:rPr>
      </w:pPr>
    </w:p>
    <w:p w:rsidR="00FE0B60" w:rsidRPr="00FE0B60" w:rsidRDefault="00FE0B60" w:rsidP="00FE0B60">
      <w:pPr>
        <w:spacing w:line="600" w:lineRule="exact"/>
        <w:ind w:firstLineChars="200" w:firstLine="602"/>
        <w:outlineLvl w:val="2"/>
        <w:rPr>
          <w:rFonts w:ascii="Times New Roman" w:eastAsia="楷体_GB2312" w:hAnsi="Times New Roman" w:cs="Times New Roman"/>
          <w:b/>
          <w:color w:val="000000"/>
          <w:sz w:val="30"/>
          <w:szCs w:val="30"/>
        </w:rPr>
      </w:pPr>
    </w:p>
    <w:p w:rsidR="00FE0B60" w:rsidRPr="00FE0B60" w:rsidRDefault="00FE0B60" w:rsidP="00FE0B60">
      <w:pPr>
        <w:rPr>
          <w:rFonts w:ascii="Calibri" w:eastAsia="方正仿宋简体" w:hAnsi="Calibri" w:cs="Times New Roman"/>
          <w:sz w:val="32"/>
          <w:szCs w:val="24"/>
        </w:rPr>
      </w:pPr>
    </w:p>
    <w:p w:rsidR="00FE0B60" w:rsidRPr="00FE0B60" w:rsidRDefault="00FE0B60" w:rsidP="00FE0B60">
      <w:pPr>
        <w:spacing w:line="300" w:lineRule="auto"/>
        <w:jc w:val="center"/>
        <w:textAlignment w:val="baseline"/>
        <w:rPr>
          <w:rFonts w:ascii="Times New Roman" w:eastAsia="楷体_GB2312" w:hAnsi="Times New Roman" w:cs="Times New Roman"/>
          <w:b/>
          <w:sz w:val="30"/>
          <w:szCs w:val="30"/>
        </w:rPr>
      </w:pPr>
    </w:p>
    <w:p w:rsidR="00FE0B60" w:rsidRPr="00FE0B60" w:rsidRDefault="00FE0B60" w:rsidP="00FE0B60">
      <w:pPr>
        <w:jc w:val="center"/>
        <w:rPr>
          <w:rFonts w:ascii="Times New Roman" w:eastAsia="楷体_GB2312" w:hAnsi="Times New Roman" w:cs="Times New Roman"/>
          <w:b/>
          <w:sz w:val="32"/>
          <w:szCs w:val="32"/>
        </w:rPr>
      </w:pPr>
      <w:r w:rsidRPr="00FE0B60">
        <w:rPr>
          <w:rFonts w:ascii="Times New Roman" w:eastAsia="楷体_GB2312" w:hAnsi="Times New Roman" w:cs="Times New Roman"/>
          <w:b/>
          <w:sz w:val="32"/>
          <w:szCs w:val="32"/>
        </w:rPr>
        <w:t>202</w:t>
      </w:r>
      <w:r w:rsidRPr="00FE0B60">
        <w:rPr>
          <w:rFonts w:ascii="Times New Roman" w:eastAsia="楷体_GB2312" w:hAnsi="Times New Roman" w:cs="Times New Roman" w:hint="eastAsia"/>
          <w:b/>
          <w:sz w:val="32"/>
          <w:szCs w:val="32"/>
        </w:rPr>
        <w:t>4</w:t>
      </w:r>
      <w:r w:rsidRPr="00FE0B60">
        <w:rPr>
          <w:rFonts w:ascii="Times New Roman" w:eastAsia="楷体_GB2312" w:hAnsi="Times New Roman" w:cs="Times New Roman"/>
          <w:b/>
          <w:sz w:val="32"/>
          <w:szCs w:val="32"/>
        </w:rPr>
        <w:t>年</w:t>
      </w:r>
      <w:r w:rsidRPr="00FE0B60">
        <w:rPr>
          <w:rFonts w:ascii="Times New Roman" w:eastAsia="楷体_GB2312" w:hAnsi="Times New Roman" w:cs="Times New Roman" w:hint="eastAsia"/>
          <w:b/>
          <w:sz w:val="32"/>
          <w:szCs w:val="32"/>
        </w:rPr>
        <w:t xml:space="preserve"> 12 </w:t>
      </w:r>
      <w:r w:rsidRPr="00FE0B60">
        <w:rPr>
          <w:rFonts w:ascii="Times New Roman" w:eastAsia="楷体_GB2312" w:hAnsi="Times New Roman" w:cs="Times New Roman"/>
          <w:b/>
          <w:sz w:val="32"/>
          <w:szCs w:val="32"/>
        </w:rPr>
        <w:t>月</w:t>
      </w:r>
      <w:r w:rsidRPr="00FE0B60">
        <w:rPr>
          <w:rFonts w:ascii="Times New Roman" w:eastAsia="楷体_GB2312" w:hAnsi="Times New Roman" w:cs="Times New Roman" w:hint="eastAsia"/>
          <w:b/>
          <w:sz w:val="32"/>
          <w:szCs w:val="32"/>
        </w:rPr>
        <w:t xml:space="preserve"> 3  </w:t>
      </w:r>
      <w:r w:rsidRPr="00FE0B60">
        <w:rPr>
          <w:rFonts w:ascii="Times New Roman" w:eastAsia="楷体_GB2312" w:hAnsi="Times New Roman" w:cs="Times New Roman"/>
          <w:b/>
          <w:sz w:val="32"/>
          <w:szCs w:val="32"/>
        </w:rPr>
        <w:t>日</w:t>
      </w:r>
    </w:p>
    <w:p w:rsidR="00FE0B60" w:rsidRPr="00FE0B60" w:rsidRDefault="00FE0B60" w:rsidP="00FE0B60">
      <w:pPr>
        <w:jc w:val="center"/>
        <w:rPr>
          <w:rFonts w:ascii="Times New Roman" w:eastAsia="楷体_GB2312" w:hAnsi="Times New Roman" w:cs="Times New Roman"/>
          <w:b/>
          <w:sz w:val="32"/>
          <w:szCs w:val="32"/>
        </w:rPr>
      </w:pPr>
    </w:p>
    <w:p w:rsidR="00FE0B60" w:rsidRPr="00FE0B60" w:rsidRDefault="00FE0B60" w:rsidP="00FE0B60">
      <w:pPr>
        <w:jc w:val="center"/>
        <w:rPr>
          <w:rFonts w:ascii="黑体" w:eastAsia="黑体" w:hAnsi="黑体" w:cs="黑体"/>
          <w:sz w:val="32"/>
          <w:szCs w:val="32"/>
        </w:rPr>
      </w:pPr>
    </w:p>
    <w:p w:rsidR="00FE0B60" w:rsidRPr="00FE0B60" w:rsidRDefault="00FE0B60" w:rsidP="00FE0B60">
      <w:pPr>
        <w:widowControl/>
        <w:spacing w:line="560" w:lineRule="exact"/>
        <w:textAlignment w:val="baseline"/>
        <w:rPr>
          <w:rFonts w:ascii="仿宋" w:eastAsia="仿宋" w:hAnsi="仿宋" w:cs="黑体"/>
          <w:b/>
          <w:sz w:val="32"/>
          <w:szCs w:val="32"/>
        </w:rPr>
        <w:sectPr w:rsidR="00FE0B60" w:rsidRPr="00FE0B60">
          <w:footerReference w:type="default" r:id="rId8"/>
          <w:pgSz w:w="11910" w:h="16840"/>
          <w:pgMar w:top="1520" w:right="1520" w:bottom="1580" w:left="1680" w:header="0" w:footer="1392" w:gutter="0"/>
          <w:pgNumType w:start="1"/>
          <w:cols w:space="720"/>
        </w:sectPr>
      </w:pPr>
    </w:p>
    <w:p w:rsidR="00FE0B60" w:rsidRPr="00FE0B60" w:rsidRDefault="00FE0B60" w:rsidP="00FE0B60">
      <w:pPr>
        <w:widowControl/>
        <w:spacing w:line="560" w:lineRule="exact"/>
        <w:textAlignment w:val="baseline"/>
        <w:rPr>
          <w:rFonts w:ascii="仿宋" w:eastAsia="仿宋" w:hAnsi="仿宋" w:cs="方正仿宋简体"/>
          <w:b/>
          <w:sz w:val="32"/>
          <w:szCs w:val="32"/>
        </w:rPr>
      </w:pPr>
      <w:r w:rsidRPr="00FE0B60">
        <w:rPr>
          <w:rFonts w:ascii="仿宋" w:eastAsia="仿宋" w:hAnsi="仿宋" w:cs="黑体" w:hint="eastAsia"/>
          <w:b/>
          <w:sz w:val="32"/>
          <w:szCs w:val="32"/>
        </w:rPr>
        <w:lastRenderedPageBreak/>
        <w:t>一、总体概况</w:t>
      </w:r>
    </w:p>
    <w:p w:rsidR="00FE0B60" w:rsidRPr="00FE0B60" w:rsidRDefault="00FE0B60" w:rsidP="00FE0B60">
      <w:pPr>
        <w:spacing w:line="560" w:lineRule="exact"/>
        <w:ind w:firstLineChars="200" w:firstLine="643"/>
        <w:rPr>
          <w:rFonts w:ascii="仿宋" w:eastAsia="仿宋" w:hAnsi="仿宋" w:cs="宋体"/>
          <w:b/>
          <w:bCs/>
          <w:sz w:val="32"/>
          <w:szCs w:val="32"/>
        </w:rPr>
      </w:pPr>
      <w:r w:rsidRPr="00FE0B60">
        <w:rPr>
          <w:rFonts w:ascii="仿宋" w:eastAsia="仿宋" w:hAnsi="仿宋" w:cs="宋体" w:hint="eastAsia"/>
          <w:b/>
          <w:bCs/>
          <w:sz w:val="32"/>
          <w:szCs w:val="32"/>
        </w:rPr>
        <w:t>1.学位点授权基本情况</w:t>
      </w:r>
    </w:p>
    <w:p w:rsidR="00FE0B60" w:rsidRPr="00FE0B60" w:rsidRDefault="00FE0B60" w:rsidP="00FE0B60">
      <w:pPr>
        <w:spacing w:line="560" w:lineRule="exact"/>
        <w:ind w:firstLineChars="200" w:firstLine="640"/>
        <w:rPr>
          <w:rFonts w:ascii="仿宋" w:eastAsia="仿宋" w:hAnsi="仿宋" w:cs="宋体"/>
          <w:sz w:val="32"/>
          <w:szCs w:val="32"/>
        </w:rPr>
      </w:pPr>
      <w:r w:rsidRPr="00FE0B60">
        <w:rPr>
          <w:rFonts w:ascii="仿宋" w:eastAsia="仿宋" w:hAnsi="仿宋" w:cs="宋体"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FE0B60">
        <w:rPr>
          <w:rFonts w:ascii="仿宋" w:eastAsia="仿宋" w:hAnsi="仿宋" w:cs="宋体" w:hint="eastAsia"/>
          <w:sz w:val="32"/>
          <w:szCs w:val="32"/>
        </w:rPr>
        <w:t>经过40多年的发展，本授权点已经成为华南地区统计科学研究和研究生教育的重镇，汇集了一批有影响力的专家学者，培育了数以千计的统计专业高级人才，为我省及全国统计事业的发展做出了重要贡献。</w:t>
      </w:r>
    </w:p>
    <w:p w:rsidR="00FE0B60" w:rsidRPr="00FE0B60" w:rsidRDefault="00FE0B60" w:rsidP="00FE0B60">
      <w:pPr>
        <w:spacing w:line="560" w:lineRule="exact"/>
        <w:ind w:firstLineChars="200" w:firstLine="643"/>
        <w:rPr>
          <w:rFonts w:ascii="仿宋" w:eastAsia="仿宋" w:hAnsi="仿宋" w:cs="宋体"/>
          <w:b/>
          <w:bCs/>
          <w:sz w:val="32"/>
          <w:szCs w:val="32"/>
        </w:rPr>
      </w:pPr>
      <w:r w:rsidRPr="00FE0B60">
        <w:rPr>
          <w:rFonts w:ascii="仿宋" w:eastAsia="仿宋" w:hAnsi="仿宋" w:cs="宋体" w:hint="eastAsia"/>
          <w:b/>
          <w:bCs/>
          <w:sz w:val="32"/>
          <w:szCs w:val="32"/>
        </w:rPr>
        <w:t>2.学科建设情况</w:t>
      </w:r>
    </w:p>
    <w:p w:rsidR="00FE0B60" w:rsidRPr="00FE0B60" w:rsidRDefault="00FE0B60" w:rsidP="00FE0B60">
      <w:pPr>
        <w:spacing w:line="560" w:lineRule="exact"/>
        <w:ind w:firstLineChars="200" w:firstLine="640"/>
        <w:rPr>
          <w:rFonts w:ascii="仿宋" w:eastAsia="仿宋" w:hAnsi="仿宋" w:cs="宋体"/>
          <w:color w:val="000000"/>
          <w:sz w:val="32"/>
          <w:szCs w:val="32"/>
        </w:rPr>
      </w:pPr>
      <w:r w:rsidRPr="00FE0B60">
        <w:rPr>
          <w:rFonts w:ascii="仿宋" w:eastAsia="仿宋" w:hAnsi="仿宋" w:cs="宋体" w:hint="eastAsia"/>
          <w:color w:val="000000"/>
          <w:sz w:val="32"/>
          <w:szCs w:val="32"/>
        </w:rPr>
        <w:t>本授权点现有教师45人（包括统计与数据科学系22人，数学系23人），其中教授16人、副教授17人，45岁以下的导师占60%，生师比约为2人/导师，校外行业导师15人，其中副高5人。统计学科为学校和学科发展做出来了重大的贡献，也取得了可喜的成绩。2019年和2020年经济统计分别获省级一流本科专业和国家级一流本科专业，1人享受政府特殊津贴专家，1人入选国家人事部“有特殊贡献的中青年专家”，2人荣获国家级青年人才计划支持，1人入选南粤优秀教师，3人荣获省部级优秀教师，多人担任国家一级学会副会长、常务理事和国家二级学会会长、副会长等职务。近5年，共发表各类期刊（JASA、Biometrika、JoE、JBES、JMLR、统计研究）论文200余篇，共获批国家级项目20余项，省部级项目20余项；累计纵向项目经费近1000万，横向项目30余项，累计项目经</w:t>
      </w:r>
      <w:r w:rsidRPr="00FE0B60">
        <w:rPr>
          <w:rFonts w:ascii="仿宋" w:eastAsia="仿宋" w:hAnsi="仿宋" w:cs="宋体" w:hint="eastAsia"/>
          <w:color w:val="000000"/>
          <w:sz w:val="32"/>
          <w:szCs w:val="32"/>
        </w:rPr>
        <w:lastRenderedPageBreak/>
        <w:t>费500多万。王国长教授2023年入选国家级青年人才计划支持，广东省政府参事雷钦礼教授多条决策咨询被批示采纳；杨广仁教授提案获民进广东省优秀提案一等奖；樊锁海教授获“南粤优秀教师”称号。</w:t>
      </w:r>
    </w:p>
    <w:p w:rsidR="00FE0B60" w:rsidRPr="00FE0B60" w:rsidRDefault="00FE0B60" w:rsidP="00FE0B60">
      <w:pPr>
        <w:spacing w:line="560" w:lineRule="exact"/>
        <w:ind w:firstLineChars="200" w:firstLine="643"/>
        <w:rPr>
          <w:rFonts w:ascii="仿宋" w:eastAsia="仿宋" w:hAnsi="仿宋" w:cs="宋体"/>
          <w:b/>
          <w:bCs/>
          <w:sz w:val="32"/>
          <w:szCs w:val="32"/>
        </w:rPr>
      </w:pPr>
      <w:r w:rsidRPr="00FE0B60">
        <w:rPr>
          <w:rFonts w:ascii="仿宋" w:eastAsia="仿宋" w:hAnsi="仿宋" w:cs="宋体" w:hint="eastAsia"/>
          <w:b/>
          <w:bCs/>
          <w:sz w:val="32"/>
          <w:szCs w:val="32"/>
        </w:rPr>
        <w:t>3.研究生招生、在读、毕业、学位授予及就业基本状况</w:t>
      </w:r>
    </w:p>
    <w:p w:rsidR="00FE0B60" w:rsidRPr="00FE0B60" w:rsidRDefault="00FE0B60" w:rsidP="00FE0B60">
      <w:pPr>
        <w:spacing w:line="560" w:lineRule="exact"/>
        <w:ind w:firstLineChars="200" w:firstLine="640"/>
        <w:rPr>
          <w:rFonts w:ascii="仿宋" w:eastAsia="仿宋" w:hAnsi="仿宋" w:cs="宋体"/>
          <w:color w:val="000000"/>
          <w:sz w:val="32"/>
          <w:szCs w:val="32"/>
        </w:rPr>
      </w:pPr>
      <w:r w:rsidRPr="00FE0B60">
        <w:rPr>
          <w:rFonts w:ascii="仿宋" w:eastAsia="仿宋" w:hAnsi="仿宋" w:cs="宋体" w:hint="eastAsia"/>
          <w:color w:val="000000"/>
          <w:sz w:val="32"/>
          <w:szCs w:val="32"/>
        </w:rPr>
        <w:t>2024年，研究生报考人数为360（含推免和统招）人，实际录取为62人，录取比例约为17.2%，其中不乏“双一流”高校学生报考本学科的研究生，说明本授权点一直受到广大学子的青睐。毕业生人数69人，全部就业，就业率为100%。论文外审及抽检100%合格，全部授予学位。本学科研究生就业坚持以市场为导向，充分发挥市场在人才配置中的基础性作用，基于地缘优势，优先选择广州、深圳等地就业，同时有部分学生考取公务员。</w:t>
      </w:r>
    </w:p>
    <w:p w:rsidR="00FE0B60" w:rsidRPr="00FE0B60" w:rsidRDefault="00FE0B60" w:rsidP="00FE0B60">
      <w:pPr>
        <w:spacing w:line="560" w:lineRule="exact"/>
        <w:ind w:firstLineChars="200" w:firstLine="643"/>
        <w:rPr>
          <w:rFonts w:ascii="仿宋" w:eastAsia="仿宋" w:hAnsi="仿宋" w:cs="宋体"/>
          <w:b/>
          <w:bCs/>
          <w:sz w:val="32"/>
          <w:szCs w:val="32"/>
        </w:rPr>
      </w:pPr>
      <w:r w:rsidRPr="00FE0B60">
        <w:rPr>
          <w:rFonts w:ascii="仿宋" w:eastAsia="仿宋" w:hAnsi="仿宋" w:cs="宋体" w:hint="eastAsia"/>
          <w:b/>
          <w:bCs/>
          <w:sz w:val="32"/>
          <w:szCs w:val="32"/>
        </w:rPr>
        <w:t>4. 研究生导师状况</w:t>
      </w:r>
    </w:p>
    <w:p w:rsidR="00FE0B60" w:rsidRPr="00FE0B60" w:rsidRDefault="00FE0B60" w:rsidP="00FE0B60">
      <w:pPr>
        <w:spacing w:line="560" w:lineRule="exact"/>
        <w:ind w:firstLineChars="200" w:firstLine="640"/>
        <w:rPr>
          <w:rFonts w:ascii="仿宋" w:eastAsia="仿宋" w:hAnsi="仿宋" w:cs="宋体"/>
          <w:color w:val="000000"/>
          <w:sz w:val="32"/>
          <w:szCs w:val="32"/>
        </w:rPr>
      </w:pPr>
      <w:r w:rsidRPr="00FE0B60">
        <w:rPr>
          <w:rFonts w:ascii="仿宋" w:eastAsia="仿宋" w:hAnsi="仿宋" w:cs="宋体" w:hint="eastAsia"/>
          <w:color w:val="000000"/>
          <w:sz w:val="32"/>
          <w:szCs w:val="32"/>
        </w:rPr>
        <w:t>从师资规模来看，本授权点在编教师45人（包括统计与数据科学系22人，数学系23人），其中教授16人、副教授17人，入选家级青年人才计划支持2人，45岁以下的导师占60%，生师比约为2人/导师，校外行业导师15人，其中副高5人。</w:t>
      </w:r>
    </w:p>
    <w:p w:rsidR="00FE0B60" w:rsidRPr="00FE0B60" w:rsidRDefault="00FE0B60" w:rsidP="00FE0B60">
      <w:pPr>
        <w:widowControl/>
        <w:spacing w:line="560" w:lineRule="exact"/>
        <w:textAlignment w:val="baseline"/>
        <w:rPr>
          <w:rFonts w:ascii="仿宋" w:eastAsia="仿宋" w:hAnsi="仿宋" w:cs="黑体"/>
          <w:b/>
          <w:sz w:val="32"/>
          <w:szCs w:val="32"/>
        </w:rPr>
      </w:pPr>
      <w:r w:rsidRPr="00FE0B60">
        <w:rPr>
          <w:rFonts w:ascii="仿宋" w:eastAsia="仿宋" w:hAnsi="仿宋" w:cs="黑体" w:hint="eastAsia"/>
          <w:b/>
          <w:sz w:val="32"/>
          <w:szCs w:val="32"/>
        </w:rPr>
        <w:t>二、研究生党建与思想政治教育工作</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本授权点研究生党建与思想政治教育工作全面贯彻习近平总书记关于</w:t>
      </w:r>
      <w:r w:rsidRPr="00FE0B60">
        <w:rPr>
          <w:rFonts w:ascii="仿宋" w:eastAsia="仿宋" w:hAnsi="仿宋" w:cs="仿宋"/>
          <w:kern w:val="0"/>
          <w:sz w:val="32"/>
          <w:szCs w:val="32"/>
          <w:lang w:val="zh-CN" w:bidi="zh-CN"/>
        </w:rPr>
        <w:t>党的建设的重要思想</w:t>
      </w:r>
      <w:r w:rsidRPr="00FE0B60">
        <w:rPr>
          <w:rFonts w:ascii="仿宋" w:eastAsia="仿宋" w:hAnsi="仿宋" w:cs="宋体" w:hint="eastAsia"/>
          <w:sz w:val="32"/>
          <w:szCs w:val="32"/>
        </w:rPr>
        <w:t>及视察广东和暨南大学重要讲话精神，在学校和学院党委的全面领导下，系党总支围绕立德树人根本任务，聚焦“三全育人”综合改革目标，统筹推进党建与课程教学、科研教学、实践教学等人才培养全流程思政教</w:t>
      </w:r>
      <w:r w:rsidRPr="00FE0B60">
        <w:rPr>
          <w:rFonts w:ascii="仿宋" w:eastAsia="仿宋" w:hAnsi="仿宋" w:cs="宋体" w:hint="eastAsia"/>
          <w:sz w:val="32"/>
          <w:szCs w:val="32"/>
        </w:rPr>
        <w:lastRenderedPageBreak/>
        <w:t>育模式融合发展，努力提升研究生党建和思政教育工作水平。</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首先，坚持党建与人才培养工作融合一体发展思路，将思政教育融入课程教学、科研教学和实践教学等人才培养全流程，形成以党支部、党员及积极分子为核心堡垒、以班级和团支部干部为核心依托、以导师学生小组为有机构成的思政教育组织体系，充分发挥党建在研究生人才培养过程中的灵魂引领和压舱石作用。</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其次，在课程教学环节，坚持“分类培养、分流教学、同相融合”侨校特色育人模式，积极实施主任书记“思政第一课”制度；鼓励专任教师根据学科特点推行教学改革和课程建设，以培养学生数据驱动、统计诚信等职业素养为目标，深入挖掘课程和课堂思政教育内容元素，着力打造研究生思政教育示范课程。</w:t>
      </w:r>
    </w:p>
    <w:p w:rsidR="00FE0B60" w:rsidRPr="00FE0B60" w:rsidRDefault="00FE0B60" w:rsidP="00FE0B60">
      <w:pPr>
        <w:numPr>
          <w:ilvl w:val="0"/>
          <w:numId w:val="1"/>
        </w:numPr>
        <w:autoSpaceDE w:val="0"/>
        <w:autoSpaceDN w:val="0"/>
        <w:adjustRightInd w:val="0"/>
        <w:spacing w:line="560" w:lineRule="exact"/>
        <w:ind w:firstLineChars="200" w:firstLine="640"/>
        <w:jc w:val="left"/>
        <w:rPr>
          <w:rFonts w:ascii="仿宋" w:eastAsia="仿宋" w:hAnsi="仿宋" w:cs="宋体"/>
          <w:sz w:val="32"/>
          <w:szCs w:val="32"/>
        </w:rPr>
      </w:pPr>
      <w:r w:rsidRPr="00FE0B60">
        <w:rPr>
          <w:rFonts w:ascii="仿宋" w:eastAsia="仿宋" w:hAnsi="仿宋" w:cs="宋体" w:hint="eastAsia"/>
          <w:sz w:val="32"/>
          <w:szCs w:val="32"/>
        </w:rPr>
        <w:t>科研教学环节，落实导师是研究生培养第一责任人制度，以导师学生研究小组为基本单元，以增强学生统计职业道德、学术科研道德和社会责任感为基本目标，强化学生在科研训练环节的思政教育。充分发挥导师在研究生升学、就业等环节思政考核鉴定中的作用。</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第四，实践教学环节，充分发挥校外实践教学基地、统计校友基金会、学科竞赛以及党建主题日活动等平台作用，通过形式灵活多样的科研实践、学科竞赛、校友分享和户外团建等活动，将研究生党建和思政教育工作寓教于行，实现研究生人才思想理论水平和专业实践能力的双重提升。</w:t>
      </w:r>
    </w:p>
    <w:p w:rsidR="00FE0B60" w:rsidRPr="00FE0B60" w:rsidRDefault="00FE0B60" w:rsidP="00FE0B60">
      <w:pPr>
        <w:widowControl/>
        <w:spacing w:line="560" w:lineRule="exact"/>
        <w:textAlignment w:val="baseline"/>
        <w:rPr>
          <w:rFonts w:ascii="仿宋" w:eastAsia="仿宋" w:hAnsi="仿宋" w:cs="黑体"/>
          <w:b/>
          <w:sz w:val="32"/>
          <w:szCs w:val="32"/>
        </w:rPr>
      </w:pPr>
      <w:r w:rsidRPr="00FE0B60">
        <w:rPr>
          <w:rFonts w:ascii="仿宋" w:eastAsia="仿宋" w:hAnsi="仿宋" w:cs="黑体" w:hint="eastAsia"/>
          <w:b/>
          <w:sz w:val="32"/>
          <w:szCs w:val="32"/>
        </w:rPr>
        <w:t>三、研究生培养相关制度及执行情况</w:t>
      </w:r>
    </w:p>
    <w:p w:rsidR="00FE0B60" w:rsidRPr="00FE0B60" w:rsidRDefault="00FE0B60" w:rsidP="00FE0B60">
      <w:pPr>
        <w:spacing w:line="560" w:lineRule="exact"/>
        <w:ind w:firstLineChars="200" w:firstLine="640"/>
        <w:outlineLvl w:val="2"/>
        <w:rPr>
          <w:rFonts w:ascii="仿宋" w:eastAsia="仿宋" w:hAnsi="仿宋" w:cs="宋体"/>
          <w:sz w:val="32"/>
          <w:szCs w:val="32"/>
        </w:rPr>
      </w:pPr>
      <w:r w:rsidRPr="00FE0B60">
        <w:rPr>
          <w:rFonts w:ascii="仿宋" w:eastAsia="仿宋" w:hAnsi="仿宋" w:cs="宋体" w:hint="eastAsia"/>
          <w:sz w:val="32"/>
          <w:szCs w:val="32"/>
        </w:rPr>
        <w:t>1.课程建设与实施情况</w:t>
      </w:r>
    </w:p>
    <w:p w:rsidR="00FE0B60" w:rsidRPr="00FE0B60" w:rsidRDefault="00FE0B60" w:rsidP="00FE0B60">
      <w:pPr>
        <w:spacing w:line="560" w:lineRule="exact"/>
        <w:ind w:firstLineChars="200" w:firstLine="640"/>
        <w:outlineLvl w:val="2"/>
        <w:rPr>
          <w:rFonts w:ascii="仿宋" w:eastAsia="仿宋" w:hAnsi="仿宋" w:cs="宋体"/>
          <w:sz w:val="32"/>
          <w:szCs w:val="32"/>
        </w:rPr>
      </w:pPr>
      <w:r w:rsidRPr="00FE0B60">
        <w:rPr>
          <w:rFonts w:ascii="仿宋" w:eastAsia="仿宋" w:hAnsi="仿宋" w:cs="宋体" w:hint="eastAsia"/>
          <w:sz w:val="32"/>
          <w:szCs w:val="32"/>
        </w:rPr>
        <w:t xml:space="preserve">根据培养目标和发展定位要求，设置课程进行课程建设，具体如下： </w:t>
      </w:r>
    </w:p>
    <w:p w:rsidR="00FE0B60" w:rsidRPr="00FE0B60" w:rsidRDefault="00FE0B60" w:rsidP="00FE0B60">
      <w:pPr>
        <w:spacing w:line="560" w:lineRule="exact"/>
        <w:ind w:firstLineChars="200" w:firstLine="640"/>
        <w:outlineLvl w:val="2"/>
        <w:rPr>
          <w:rFonts w:ascii="仿宋" w:eastAsia="仿宋" w:hAnsi="仿宋" w:cs="宋体"/>
          <w:sz w:val="32"/>
          <w:szCs w:val="32"/>
        </w:rPr>
      </w:pPr>
      <w:r w:rsidRPr="00FE0B60">
        <w:rPr>
          <w:rFonts w:ascii="仿宋" w:eastAsia="仿宋" w:hAnsi="仿宋" w:cs="宋体" w:hint="eastAsia"/>
          <w:sz w:val="32"/>
          <w:szCs w:val="32"/>
        </w:rPr>
        <w:t>（1）开设核心课程情况。本授权点围绕教授学生统计理论研究和实践应用所需的专业知识、研究方法和研究工具为目标，按照研究生培养方案要求，结合未来统计专业前沿发展趋势和就业需要进行具体的课程设置，增设了《机器学习基础》、《面板数据和Stata应用》和《案例分析》等实际应用课程。</w:t>
      </w:r>
    </w:p>
    <w:p w:rsidR="00FE0B60" w:rsidRPr="00FE0B60" w:rsidRDefault="00FE0B60" w:rsidP="00FE0B60">
      <w:pPr>
        <w:spacing w:line="560" w:lineRule="exact"/>
        <w:ind w:firstLineChars="200" w:firstLine="640"/>
        <w:outlineLvl w:val="2"/>
        <w:rPr>
          <w:rFonts w:ascii="仿宋" w:eastAsia="仿宋" w:hAnsi="仿宋" w:cs="宋体"/>
          <w:sz w:val="32"/>
          <w:szCs w:val="32"/>
        </w:rPr>
      </w:pPr>
      <w:r w:rsidRPr="00FE0B60">
        <w:rPr>
          <w:rFonts w:ascii="仿宋" w:eastAsia="仿宋" w:hAnsi="仿宋" w:cs="宋体"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统计学原理》课程入选广东省一流本科课程。在广东省教育评价改革主题征文活动中获得2个三等奖。近5年，获批省级教改项目3项，省级一流课程2门、校级教改项目近8项、校级调研项目4项、校级“金课”立项5门、校级教学成果奖一等奖1项。共出版2部专著（含教材）。2024年，侯雅文副教授荣获第四届全国高校教师教学创新大赛广东分赛特等奖、全国一等奖。</w:t>
      </w:r>
    </w:p>
    <w:p w:rsidR="00FE0B60" w:rsidRPr="00FE0B60" w:rsidRDefault="00FE0B60" w:rsidP="00FE0B60">
      <w:pPr>
        <w:autoSpaceDE w:val="0"/>
        <w:autoSpaceDN w:val="0"/>
        <w:adjustRightInd w:val="0"/>
        <w:spacing w:line="560" w:lineRule="exact"/>
        <w:ind w:firstLineChars="200" w:firstLine="640"/>
        <w:jc w:val="left"/>
        <w:rPr>
          <w:rFonts w:ascii="仿宋" w:eastAsia="仿宋" w:hAnsi="仿宋" w:cs="宋体"/>
          <w:sz w:val="32"/>
          <w:szCs w:val="32"/>
        </w:rPr>
      </w:pPr>
      <w:r w:rsidRPr="00FE0B60">
        <w:rPr>
          <w:rFonts w:ascii="仿宋" w:eastAsia="仿宋" w:hAnsi="仿宋" w:cs="宋体" w:hint="eastAsia"/>
          <w:sz w:val="32"/>
          <w:szCs w:val="32"/>
        </w:rPr>
        <w:t>2. 学术训练情况</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（1）制度保证。本授权点积极动员、鼓励和资助研究生导师指导研究生参加各类学术竞赛和科研活动，并在研究生评奖等方面着重考虑研究生学术训练情况，目前已取得显著成效。</w:t>
      </w:r>
    </w:p>
    <w:p w:rsidR="00FE0B60" w:rsidRPr="00FE0B60" w:rsidRDefault="00FE0B60" w:rsidP="00FE0B60">
      <w:pPr>
        <w:autoSpaceDE w:val="0"/>
        <w:autoSpaceDN w:val="0"/>
        <w:adjustRightInd w:val="0"/>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（2）经费支持。在校院资助学生参与学术训练项目的基本上，本授权点还专门拨出经费鼓励学生参与统计建模、案例大赛、全国市场调查大赛等学术活动。</w:t>
      </w:r>
    </w:p>
    <w:p w:rsidR="00FE0B60" w:rsidRPr="00FE0B60" w:rsidRDefault="00FE0B60" w:rsidP="00FE0B60">
      <w:pPr>
        <w:spacing w:line="560" w:lineRule="exact"/>
        <w:ind w:firstLineChars="150" w:firstLine="480"/>
        <w:rPr>
          <w:rFonts w:ascii="仿宋" w:eastAsia="仿宋" w:hAnsi="仿宋" w:cs="宋体"/>
          <w:sz w:val="32"/>
          <w:szCs w:val="32"/>
        </w:rPr>
      </w:pPr>
      <w:r w:rsidRPr="00FE0B60">
        <w:rPr>
          <w:rFonts w:ascii="仿宋" w:eastAsia="仿宋" w:hAnsi="仿宋" w:cs="宋体" w:hint="eastAsia"/>
          <w:sz w:val="32"/>
          <w:szCs w:val="32"/>
        </w:rPr>
        <w:t>（3）学生学术获奖情况。</w:t>
      </w:r>
      <w:r w:rsidRPr="00FE0B60">
        <w:rPr>
          <w:rFonts w:ascii="仿宋" w:eastAsia="仿宋" w:hAnsi="仿宋" w:cs="宋体" w:hint="eastAsia"/>
          <w:color w:val="000000"/>
          <w:sz w:val="32"/>
          <w:szCs w:val="32"/>
        </w:rPr>
        <w:t>在2024年取</w:t>
      </w:r>
      <w:r w:rsidRPr="00FE0B60">
        <w:rPr>
          <w:rFonts w:ascii="仿宋" w:eastAsia="仿宋" w:hAnsi="仿宋" w:cs="宋体" w:hint="eastAsia"/>
          <w:sz w:val="32"/>
          <w:szCs w:val="32"/>
        </w:rPr>
        <w:t>得了辉煌的成就，获国奖3人次、参加全国研究生数学建模竞赛、全国研究生统计建模大赛、全国应用统计专业学位研究生案例大赛、全国市场调查与分析大赛和泰迪杯数据挖掘等竞赛荣获国家级奖项50余项。</w:t>
      </w:r>
    </w:p>
    <w:p w:rsidR="00FE0B60" w:rsidRPr="00FE0B60" w:rsidRDefault="00FE0B60" w:rsidP="00FE0B60">
      <w:pPr>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3. 学术交流</w:t>
      </w:r>
    </w:p>
    <w:p w:rsidR="00FE0B60" w:rsidRPr="00FE0B60" w:rsidRDefault="00FE0B60" w:rsidP="00FE0B60">
      <w:pPr>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暨南大学已制定了关于资助研究生参加国际学术会议管理规定，学校和学院拨出专门的经费资助研究生参与国内外学术会议。2024年，有多名研究生投稿并参加中国现场统计学会、广东省现场统计学会等全国性和国际性的学术会议。</w:t>
      </w:r>
    </w:p>
    <w:p w:rsidR="00FE0B60" w:rsidRPr="00FE0B60" w:rsidRDefault="00FE0B60" w:rsidP="00FE0B60">
      <w:pPr>
        <w:spacing w:line="560" w:lineRule="exact"/>
        <w:ind w:firstLineChars="200" w:firstLine="640"/>
        <w:rPr>
          <w:rFonts w:ascii="仿宋" w:eastAsia="仿宋" w:hAnsi="仿宋" w:cs="宋体"/>
          <w:color w:val="000000"/>
          <w:sz w:val="32"/>
          <w:szCs w:val="32"/>
        </w:rPr>
      </w:pPr>
      <w:r w:rsidRPr="00FE0B60">
        <w:rPr>
          <w:rFonts w:ascii="仿宋" w:eastAsia="仿宋" w:hAnsi="仿宋" w:cs="宋体" w:hint="eastAsia"/>
          <w:color w:val="000000"/>
          <w:sz w:val="32"/>
          <w:szCs w:val="32"/>
        </w:rPr>
        <w:t>4. 研究生奖助体系</w:t>
      </w:r>
    </w:p>
    <w:p w:rsidR="00FE0B60" w:rsidRPr="00FE0B60" w:rsidRDefault="00FE0B60" w:rsidP="00FE0B60">
      <w:pPr>
        <w:spacing w:line="560" w:lineRule="exact"/>
        <w:ind w:firstLineChars="200" w:firstLine="640"/>
        <w:rPr>
          <w:rFonts w:ascii="仿宋" w:eastAsia="仿宋" w:hAnsi="仿宋" w:cs="宋体"/>
          <w:sz w:val="32"/>
          <w:szCs w:val="32"/>
        </w:rPr>
      </w:pPr>
      <w:r w:rsidRPr="00FE0B60">
        <w:rPr>
          <w:rFonts w:ascii="仿宋" w:eastAsia="仿宋" w:hAnsi="仿宋" w:cs="宋体" w:hint="eastAsia"/>
          <w:sz w:val="32"/>
          <w:szCs w:val="32"/>
        </w:rPr>
        <w:t>我校实施卓越导师计划和菁英学子计划，有针对性地资助科研能力突出的导师和研究生开展高水平科学研究。另外，本授权点拥有校、院、系三级多层次的研究生奖助学金体系，同时，本系拥有</w:t>
      </w:r>
      <w:r w:rsidRPr="00FE0B60">
        <w:rPr>
          <w:rFonts w:ascii="仿宋" w:eastAsia="仿宋" w:hAnsi="仿宋" w:cs="宋体"/>
          <w:sz w:val="32"/>
          <w:szCs w:val="32"/>
        </w:rPr>
        <w:t>暨南大学瀚森助学奖学基金</w:t>
      </w:r>
      <w:r w:rsidRPr="00FE0B60">
        <w:rPr>
          <w:rFonts w:ascii="仿宋" w:eastAsia="仿宋" w:hAnsi="仿宋" w:cs="宋体" w:hint="eastAsia"/>
          <w:sz w:val="32"/>
          <w:szCs w:val="32"/>
        </w:rPr>
        <w:t>、</w:t>
      </w:r>
      <w:r w:rsidRPr="00FE0B60">
        <w:rPr>
          <w:rFonts w:ascii="仿宋" w:eastAsia="仿宋" w:hAnsi="仿宋" w:cs="宋体"/>
          <w:sz w:val="32"/>
          <w:szCs w:val="32"/>
        </w:rPr>
        <w:t>暨南大学计统88奖学金</w:t>
      </w:r>
      <w:r w:rsidRPr="00FE0B60">
        <w:rPr>
          <w:rFonts w:ascii="仿宋" w:eastAsia="仿宋" w:hAnsi="仿宋" w:cs="宋体" w:hint="eastAsia"/>
          <w:sz w:val="32"/>
          <w:szCs w:val="32"/>
        </w:rPr>
        <w:t>、暨深统计奖教奖学金，能够涵盖绝大部分研究生。</w:t>
      </w:r>
    </w:p>
    <w:p w:rsidR="00FE0B60" w:rsidRPr="00FE0B60" w:rsidRDefault="00FE0B60" w:rsidP="00FE0B60">
      <w:pPr>
        <w:widowControl/>
        <w:spacing w:line="560" w:lineRule="exact"/>
        <w:textAlignment w:val="baseline"/>
        <w:rPr>
          <w:rFonts w:ascii="仿宋" w:eastAsia="仿宋" w:hAnsi="仿宋" w:cs="黑体"/>
          <w:b/>
          <w:sz w:val="32"/>
          <w:szCs w:val="32"/>
        </w:rPr>
      </w:pPr>
      <w:r w:rsidRPr="00FE0B60">
        <w:rPr>
          <w:rFonts w:ascii="仿宋" w:eastAsia="仿宋" w:hAnsi="仿宋" w:cs="黑体" w:hint="eastAsia"/>
          <w:b/>
          <w:sz w:val="32"/>
          <w:szCs w:val="32"/>
        </w:rPr>
        <w:t>四、研究生教育改革情况</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导师聘用及培训、导师组制探索和国际交流等方面的改革创新情况：</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（1）导师聘用及培训。加强师德师风资格审查和培训，把导师是否有科研课题和课题经费数作为导师上岗的基本条件。定期开展专题讲座、教研活动等对导师进行职业素养和业务素质的培训。</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（2）导师组制探索。依据课程模块及导师专业方向构建导师组，探索联合培养新模式。</w:t>
      </w:r>
    </w:p>
    <w:p w:rsidR="00FE0B60" w:rsidRPr="00FE0B60" w:rsidRDefault="00FE0B60" w:rsidP="00FE0B60">
      <w:pPr>
        <w:spacing w:line="560" w:lineRule="exact"/>
        <w:ind w:firstLineChars="200" w:firstLine="640"/>
        <w:outlineLvl w:val="2"/>
        <w:rPr>
          <w:rFonts w:ascii="仿宋" w:eastAsia="仿宋" w:hAnsi="仿宋" w:cs="Times New Roman"/>
          <w:color w:val="000000"/>
          <w:sz w:val="32"/>
          <w:szCs w:val="32"/>
        </w:rPr>
      </w:pPr>
      <w:r w:rsidRPr="00FE0B60">
        <w:rPr>
          <w:rFonts w:ascii="仿宋" w:eastAsia="仿宋" w:hAnsi="仿宋" w:cs="宋体" w:hint="eastAsia"/>
          <w:color w:val="000000"/>
          <w:sz w:val="32"/>
          <w:szCs w:val="32"/>
        </w:rPr>
        <w:t>（3）国际交流。在统计学一级学科师资队伍建设上，柔性引进了美国加州大学的姚卫鑫副教授和美国宾州州立大学的李润泽教授，同时引进美国宾州州立大学的马彦源教授聘为珠江学者讲座教授。进站博士后近10 名。本学科将继续完善已有的4 个研究方向和教学科研队伍，巩固以教授和博士为主、年富力强的研究生教学团队，为本学科发展提供充足的人力资源保障。</w:t>
      </w:r>
    </w:p>
    <w:p w:rsidR="00FE0B60" w:rsidRPr="00FE0B60" w:rsidRDefault="00FE0B60" w:rsidP="00FE0B60">
      <w:pPr>
        <w:widowControl/>
        <w:spacing w:line="560" w:lineRule="exact"/>
        <w:textAlignment w:val="baseline"/>
        <w:rPr>
          <w:rFonts w:ascii="仿宋" w:eastAsia="仿宋" w:hAnsi="仿宋" w:cs="黑体"/>
          <w:b/>
          <w:sz w:val="32"/>
          <w:szCs w:val="32"/>
        </w:rPr>
      </w:pPr>
      <w:r w:rsidRPr="00FE0B60">
        <w:rPr>
          <w:rFonts w:ascii="仿宋" w:eastAsia="仿宋" w:hAnsi="仿宋" w:cs="黑体" w:hint="eastAsia"/>
          <w:b/>
          <w:sz w:val="32"/>
          <w:szCs w:val="32"/>
        </w:rPr>
        <w:t>五、教育质量评估与分析</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学科自我评估进展及问题分析，学位论文抽检情况及问题分析。</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本授权点一直重视学位论文质量，注重统计理论联系实际，解决现实社会经济问题，同时又具备一定的创新性；研究生管理部门和导师组通过论文开题、查重、预审查、预答辩、外审和正式答辩等途径和环节严格把关论文写作规范。按照校院两级学术督导委员会的要求，每年预审查毕业论文比例为100%，盲审比例为20%，随机抽查已通过评阅及答辩的论文比例达40%。目前，未发现论文抄袭等违反学术道德的现象。</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存在主要问题与不足：</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（1）对外学术联系需要进一步加强，国内外影响力还有待提高。</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（2）进一步加强研究生国内外学术交流。</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（3）应用统计的培养需要加强与业界的联系，加强案例教学比例。</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（4）校外导师人数和行业跨度还不够，实践参与指导深度还不够。</w:t>
      </w:r>
    </w:p>
    <w:p w:rsidR="00FE0B60" w:rsidRPr="00FE0B60" w:rsidRDefault="00FE0B60" w:rsidP="00FE0B60">
      <w:pPr>
        <w:spacing w:line="560" w:lineRule="exact"/>
        <w:outlineLvl w:val="2"/>
        <w:rPr>
          <w:rFonts w:ascii="仿宋" w:eastAsia="仿宋" w:hAnsi="仿宋" w:cs="黑体"/>
          <w:b/>
          <w:sz w:val="32"/>
          <w:szCs w:val="32"/>
        </w:rPr>
      </w:pPr>
      <w:r w:rsidRPr="00FE0B60">
        <w:rPr>
          <w:rFonts w:ascii="仿宋" w:eastAsia="仿宋" w:hAnsi="仿宋" w:cs="黑体" w:hint="eastAsia"/>
          <w:b/>
          <w:sz w:val="32"/>
          <w:szCs w:val="32"/>
        </w:rPr>
        <w:t>六、改进措施</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针对问题提出改进建议和下一步思路举措。</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1.希望学校按照国家“双一流”建设中一流学科的分类目录，对统计学一级学科的建设加以规划和支持，支持统计学科多引进海内外知名学者或博士生。希望学校在现有的经济统计学本科专业基础上，申办“数据科学”专业，统筹相关资源。</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FE0B60" w:rsidRPr="00FE0B60" w:rsidRDefault="00FE0B60" w:rsidP="00FE0B60">
      <w:pPr>
        <w:spacing w:line="560" w:lineRule="exact"/>
        <w:ind w:firstLineChars="200" w:firstLine="640"/>
        <w:outlineLvl w:val="2"/>
        <w:rPr>
          <w:rFonts w:ascii="仿宋" w:eastAsia="仿宋" w:hAnsi="仿宋" w:cs="宋体"/>
          <w:color w:val="000000"/>
          <w:sz w:val="32"/>
          <w:szCs w:val="32"/>
        </w:rPr>
      </w:pPr>
      <w:r w:rsidRPr="00FE0B60">
        <w:rPr>
          <w:rFonts w:ascii="仿宋" w:eastAsia="仿宋" w:hAnsi="仿宋" w:cs="宋体" w:hint="eastAsia"/>
          <w:color w:val="000000"/>
          <w:sz w:val="32"/>
          <w:szCs w:val="32"/>
        </w:rPr>
        <w:t>3.已经向学校递交10位涵盖广东省统计局、广东省全国调查总队及业界的校外指导导师申请，以后定期的邀请校外导师及业界人士来校讲学。</w:t>
      </w:r>
    </w:p>
    <w:p w:rsidR="00FE0B60" w:rsidRPr="00FE0B60" w:rsidRDefault="00FE0B60" w:rsidP="00FE0B60">
      <w:pPr>
        <w:spacing w:afterLines="50" w:after="120" w:line="560" w:lineRule="exact"/>
        <w:rPr>
          <w:rFonts w:ascii="仿宋" w:eastAsia="仿宋" w:hAnsi="仿宋" w:cs="Times New Roman"/>
          <w:sz w:val="32"/>
          <w:szCs w:val="32"/>
        </w:rPr>
      </w:pPr>
    </w:p>
    <w:p w:rsidR="00FE0B60" w:rsidRPr="00FE0B60" w:rsidRDefault="00FE0B60" w:rsidP="00FE0B60">
      <w:pPr>
        <w:tabs>
          <w:tab w:val="left" w:pos="1083"/>
        </w:tabs>
        <w:autoSpaceDE w:val="0"/>
        <w:autoSpaceDN w:val="0"/>
        <w:spacing w:before="6"/>
        <w:ind w:hanging="120"/>
        <w:jc w:val="left"/>
        <w:rPr>
          <w:rFonts w:ascii="仿宋" w:eastAsia="仿宋" w:hAnsi="仿宋" w:cs="仿宋"/>
          <w:kern w:val="0"/>
          <w:sz w:val="32"/>
          <w:szCs w:val="32"/>
          <w:lang w:bidi="zh-CN"/>
        </w:rPr>
      </w:pPr>
    </w:p>
    <w:p w:rsidR="002A0C0D" w:rsidRPr="00FE0B60" w:rsidRDefault="002A0C0D"/>
    <w:sectPr w:rsidR="002A0C0D" w:rsidRPr="00FE0B60">
      <w:footerReference w:type="default" r:id="rId9"/>
      <w:pgSz w:w="11910" w:h="16840"/>
      <w:pgMar w:top="1520" w:right="1520" w:bottom="1580" w:left="1680" w:header="0" w:footer="13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FFD" w:rsidRDefault="00543FFD">
      <w:r>
        <w:separator/>
      </w:r>
    </w:p>
  </w:endnote>
  <w:endnote w:type="continuationSeparator" w:id="0">
    <w:p w:rsidR="00543FFD" w:rsidRDefault="0054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FE0B60">
    <w:pPr>
      <w:pStyle w:val="a3"/>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56704" behindDoc="0" locked="0" layoutInCell="1" allowOverlap="1" wp14:anchorId="6A0FBE9D" wp14:editId="79107628">
              <wp:simplePos x="0" y="0"/>
              <wp:positionH relativeFrom="margin">
                <wp:align>center</wp:align>
              </wp:positionH>
              <wp:positionV relativeFrom="paragraph">
                <wp:posOffset>8255</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437E42">
                          <w:pPr>
                            <w:pStyle w:val="a3"/>
                            <w:widowControl/>
                            <w:jc w:val="both"/>
                            <w:textAlignment w:val="baseline"/>
                            <w:rPr>
                              <w:rStyle w:val="NormalCharacter"/>
                              <w:rFonts w:ascii="Times New Roman" w:eastAsia="宋体" w:hAnsi="Times New Roman"/>
                              <w:sz w:val="20"/>
                            </w:rPr>
                          </w:pPr>
                        </w:p>
                        <w:p w:rsidR="0056200B" w:rsidRDefault="00437E42">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1" o:spid="_x0000_s1026"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" filled="f" stroked="f" strokeweight="1.25pt">
              <v:textbox inset="0,0,0,0">
                <w:txbxContent>
                  <w:p w:rsidR="0056200B" w:rsidRDefault="00FE0B60">
                    <w:pPr>
                      <w:pStyle w:val="a3"/>
                      <w:widowControl/>
                      <w:jc w:val="both"/>
                      <w:textAlignment w:val="baseline"/>
                      <w:rPr>
                        <w:rStyle w:val="NormalCharacter"/>
                        <w:rFonts w:ascii="Times New Roman" w:eastAsia="宋体" w:hAnsi="Times New Roman"/>
                        <w:sz w:val="20"/>
                      </w:rPr>
                    </w:pPr>
                  </w:p>
                  <w:p w:rsidR="0056200B" w:rsidRDefault="00FE0B60">
                    <w:pPr>
                      <w:textAlignment w:val="baseline"/>
                      <w:rPr>
                        <w:rStyle w:val="NormalCharacter"/>
                        <w:rFonts w:ascii="Times New Roman" w:eastAsia="宋体" w:hAnsi="Times New Roman"/>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FE0B60">
    <w:pPr>
      <w:pStyle w:val="a3"/>
      <w:widowControl/>
      <w:textAlignment w:val="baseline"/>
      <w:rPr>
        <w:rStyle w:val="NormalCharacter"/>
        <w:rFonts w:ascii="Times New Roman" w:eastAsia="宋体" w:hAnsi="Times New Roman"/>
      </w:rPr>
    </w:pPr>
    <w:r>
      <w:rPr>
        <w:noProof/>
        <w:lang w:val="en-US" w:bidi="ar-SA"/>
      </w:rPr>
      <mc:AlternateContent>
        <mc:Choice Requires="wps">
          <w:drawing>
            <wp:anchor distT="0" distB="0" distL="114300" distR="114300" simplePos="0" relativeHeight="251658752" behindDoc="0" locked="0" layoutInCell="1" allowOverlap="1" wp14:anchorId="2EAB8515" wp14:editId="051D387F">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56200B" w:rsidRDefault="00FE0B60">
                          <w:pPr>
                            <w:pStyle w:val="a3"/>
                          </w:pPr>
                          <w:r>
                            <w:rPr>
                              <w:rFonts w:hint="eastAsia"/>
                            </w:rPr>
                            <w:fldChar w:fldCharType="begin"/>
                          </w:r>
                          <w:r>
                            <w:rPr>
                              <w:rFonts w:hint="eastAsia"/>
                            </w:rPr>
                            <w:instrText xml:space="preserve"> PAGE  \* MERGEFORMAT </w:instrText>
                          </w:r>
                          <w:r>
                            <w:rPr>
                              <w:rFonts w:hint="eastAsia"/>
                            </w:rPr>
                            <w:fldChar w:fldCharType="separate"/>
                          </w:r>
                          <w:r w:rsidR="00437E42">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2" o:spid="_x0000_s1027"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cdarZx4CAAAeBAAADgAAAAAAAAAAAAAAAAAuAgAAZHJzL2Uyb0RvYy54bWxQSwECLQAUAAYA&#10;CAAAACEAcarRudcAAAAFAQAADwAAAAAAAAAAAAAAAAB4BAAAZHJzL2Rvd25yZXYueG1sUEsFBgAA&#10;AAAEAAQA8wAAAHwFAAAAAA==&#10;" filled="f" stroked="f" strokeweight=".5pt">
              <v:textbox style="mso-fit-shape-to-text:t" inset="0,0,0,0">
                <w:txbxContent>
                  <w:p w:rsidR="0056200B" w:rsidRDefault="00FE0B60">
                    <w:pPr>
                      <w:pStyle w:val="a3"/>
                    </w:pPr>
                    <w:r>
                      <w:rPr>
                        <w:rFonts w:hint="eastAsia"/>
                      </w:rPr>
                      <w:fldChar w:fldCharType="begin"/>
                    </w:r>
                    <w:r>
                      <w:rPr>
                        <w:rFonts w:hint="eastAsia"/>
                      </w:rPr>
                      <w:instrText xml:space="preserve"> PAGE  \* MERGEFORMAT </w:instrText>
                    </w:r>
                    <w:r>
                      <w:rPr>
                        <w:rFonts w:hint="eastAsia"/>
                      </w:rPr>
                      <w:fldChar w:fldCharType="separate"/>
                    </w:r>
                    <w:r w:rsidR="00437E42">
                      <w:rPr>
                        <w:noProof/>
                      </w:rPr>
                      <w:t>2</w:t>
                    </w:r>
                    <w:r>
                      <w:rPr>
                        <w:rFonts w:hint="eastAsia"/>
                      </w:rPr>
                      <w:fldChar w:fldCharType="end"/>
                    </w: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57728" behindDoc="0" locked="0" layoutInCell="1" allowOverlap="1" wp14:anchorId="4D0D06A6" wp14:editId="07C4F616">
              <wp:simplePos x="0" y="0"/>
              <wp:positionH relativeFrom="margin">
                <wp:align>center</wp:align>
              </wp:positionH>
              <wp:positionV relativeFrom="paragraph">
                <wp:posOffset>8255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437E42">
                          <w:pPr>
                            <w:pStyle w:val="a3"/>
                            <w:widowControl/>
                            <w:jc w:val="both"/>
                            <w:textAlignment w:val="baseline"/>
                            <w:rPr>
                              <w:rStyle w:val="NormalCharacter"/>
                              <w:rFonts w:ascii="Times New Roman" w:eastAsia="宋体" w:hAnsi="Times New Roman"/>
                              <w:sz w:val="20"/>
                            </w:rPr>
                          </w:pPr>
                        </w:p>
                        <w:p w:rsidR="0056200B" w:rsidRDefault="00437E42">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 id="文本框 23" o:spid="_x0000_s1028"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" filled="f" stroked="f" strokeweight="1.25pt">
              <v:textbox inset="0,0,0,0">
                <w:txbxContent>
                  <w:p w:rsidR="0056200B" w:rsidRDefault="00FE0B60">
                    <w:pPr>
                      <w:pStyle w:val="a3"/>
                      <w:widowControl/>
                      <w:jc w:val="both"/>
                      <w:textAlignment w:val="baseline"/>
                      <w:rPr>
                        <w:rStyle w:val="NormalCharacter"/>
                        <w:rFonts w:ascii="Times New Roman" w:eastAsia="宋体" w:hAnsi="Times New Roman"/>
                        <w:sz w:val="20"/>
                      </w:rPr>
                    </w:pPr>
                  </w:p>
                  <w:p w:rsidR="0056200B" w:rsidRDefault="00FE0B60">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FFD" w:rsidRDefault="00543FFD">
      <w:r>
        <w:separator/>
      </w:r>
    </w:p>
  </w:footnote>
  <w:footnote w:type="continuationSeparator" w:id="0">
    <w:p w:rsidR="00543FFD" w:rsidRDefault="00543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2E6"/>
    <w:rsid w:val="001952E6"/>
    <w:rsid w:val="00226504"/>
    <w:rsid w:val="002A0C0D"/>
    <w:rsid w:val="00360328"/>
    <w:rsid w:val="00437E42"/>
    <w:rsid w:val="00464A32"/>
    <w:rsid w:val="00543FFD"/>
    <w:rsid w:val="007B1487"/>
    <w:rsid w:val="00875723"/>
    <w:rsid w:val="00FE0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FE0B60"/>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FE0B60"/>
    <w:rPr>
      <w:sz w:val="18"/>
      <w:szCs w:val="18"/>
    </w:rPr>
  </w:style>
  <w:style w:type="character" w:customStyle="1" w:styleId="NormalCharacter">
    <w:name w:val="NormalCharacter"/>
    <w:semiHidden/>
    <w:qFormat/>
    <w:rsid w:val="00FE0B60"/>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FE0B60"/>
    <w:rPr>
      <w:rFonts w:ascii="仿宋" w:eastAsia="仿宋" w:hAnsi="仿宋" w:cs="仿宋"/>
      <w:kern w:val="0"/>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FE0B60"/>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FE0B60"/>
    <w:rPr>
      <w:sz w:val="18"/>
      <w:szCs w:val="18"/>
    </w:rPr>
  </w:style>
  <w:style w:type="character" w:customStyle="1" w:styleId="NormalCharacter">
    <w:name w:val="NormalCharacter"/>
    <w:semiHidden/>
    <w:qFormat/>
    <w:rsid w:val="00FE0B60"/>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FE0B60"/>
    <w:rPr>
      <w:rFonts w:ascii="仿宋" w:eastAsia="仿宋" w:hAnsi="仿宋" w:cs="仿宋"/>
      <w:kern w:val="0"/>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2025-03-12T08:38:00Z</dcterms:created>
  <dcterms:modified xsi:type="dcterms:W3CDTF">2025-03-12T08:38:00Z</dcterms:modified>
</cp:coreProperties>
</file>