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858F3" w14:textId="77777777" w:rsidR="003F41F0" w:rsidRDefault="00D3223F">
      <w:pPr>
        <w:outlineLvl w:val="0"/>
        <w:rPr>
          <w:rFonts w:ascii="Times New Roman" w:hAnsi="Times New Roman" w:cs="Times New Roman"/>
          <w:b/>
          <w:sz w:val="28"/>
          <w:szCs w:val="28"/>
        </w:rPr>
      </w:pPr>
      <w:r>
        <w:rPr>
          <w:rFonts w:ascii="Times New Roman" w:hAnsi="Times New Roman" w:cs="Times New Roman"/>
          <w:b/>
          <w:sz w:val="28"/>
          <w:szCs w:val="28"/>
        </w:rPr>
        <w:t>附件</w:t>
      </w:r>
      <w:r>
        <w:rPr>
          <w:rFonts w:ascii="Times New Roman" w:hAnsi="Times New Roman" w:cs="Times New Roman" w:hint="eastAsia"/>
          <w:b/>
          <w:sz w:val="28"/>
          <w:szCs w:val="28"/>
        </w:rPr>
        <w:t>3</w:t>
      </w:r>
    </w:p>
    <w:p w14:paraId="4001E3B7" w14:textId="77777777" w:rsidR="003F41F0" w:rsidRDefault="003F41F0">
      <w:pPr>
        <w:spacing w:after="156" w:line="560" w:lineRule="exact"/>
        <w:jc w:val="center"/>
        <w:textAlignment w:val="baseline"/>
        <w:rPr>
          <w:rStyle w:val="NormalCharacter"/>
          <w:rFonts w:ascii="方正小标宋简体" w:eastAsia="方正小标宋简体" w:hAnsi="宋体"/>
          <w:b/>
          <w:sz w:val="44"/>
          <w:szCs w:val="44"/>
        </w:rPr>
      </w:pPr>
    </w:p>
    <w:p w14:paraId="35856B68" w14:textId="77777777" w:rsidR="003F41F0" w:rsidRDefault="003F41F0">
      <w:pPr>
        <w:spacing w:after="156" w:line="560" w:lineRule="exact"/>
        <w:jc w:val="center"/>
        <w:textAlignment w:val="baseline"/>
        <w:rPr>
          <w:rStyle w:val="NormalCharacter"/>
          <w:rFonts w:ascii="方正小标宋简体" w:eastAsia="方正小标宋简体" w:hAnsi="宋体" w:cs="Times New Roman"/>
          <w:bCs/>
          <w:sz w:val="44"/>
          <w:szCs w:val="44"/>
        </w:rPr>
      </w:pPr>
    </w:p>
    <w:p w14:paraId="7B5D0365" w14:textId="77777777" w:rsidR="003F41F0" w:rsidRDefault="003F41F0">
      <w:pPr>
        <w:spacing w:after="156" w:line="560" w:lineRule="exact"/>
        <w:jc w:val="center"/>
        <w:textAlignment w:val="baseline"/>
        <w:rPr>
          <w:rStyle w:val="NormalCharacter"/>
          <w:rFonts w:ascii="方正小标宋简体" w:eastAsia="方正小标宋简体" w:hAnsi="宋体" w:cs="Times New Roman"/>
          <w:bCs/>
          <w:sz w:val="44"/>
          <w:szCs w:val="44"/>
        </w:rPr>
      </w:pPr>
    </w:p>
    <w:p w14:paraId="7C1043B8" w14:textId="7437FD0A" w:rsidR="003F41F0" w:rsidRDefault="003817E1">
      <w:pPr>
        <w:spacing w:after="156" w:line="560" w:lineRule="exact"/>
        <w:jc w:val="center"/>
        <w:textAlignment w:val="baseline"/>
        <w:outlineLvl w:val="0"/>
        <w:rPr>
          <w:rStyle w:val="NormalCharacter"/>
          <w:rFonts w:ascii="方正小标宋简体" w:eastAsia="方正小标宋简体" w:hAnsi="宋体" w:cs="Times New Roman"/>
          <w:bCs/>
          <w:sz w:val="44"/>
          <w:szCs w:val="44"/>
        </w:rPr>
      </w:pPr>
      <w:r w:rsidRPr="003817E1">
        <w:rPr>
          <w:rStyle w:val="NormalCharacter"/>
          <w:rFonts w:ascii="方正小标宋简体" w:eastAsia="方正小标宋简体" w:hAnsi="宋体" w:cs="Times New Roman" w:hint="eastAsia"/>
          <w:bCs/>
          <w:sz w:val="44"/>
          <w:szCs w:val="44"/>
        </w:rPr>
        <w:t>学位授权点质量建设年度报告</w:t>
      </w:r>
    </w:p>
    <w:p w14:paraId="36BD1D25" w14:textId="4D594289" w:rsidR="003F41F0" w:rsidRDefault="00D3223F">
      <w:pPr>
        <w:spacing w:after="156" w:line="560" w:lineRule="exact"/>
        <w:jc w:val="center"/>
        <w:textAlignment w:val="baseline"/>
        <w:rPr>
          <w:rStyle w:val="NormalCharacter"/>
          <w:rFonts w:ascii="方正小标宋简体" w:eastAsia="方正小标宋简体" w:hAnsi="宋体" w:cs="Times New Roman"/>
          <w:bCs/>
          <w:sz w:val="44"/>
          <w:szCs w:val="44"/>
        </w:rPr>
      </w:pPr>
      <w:r>
        <w:rPr>
          <w:rStyle w:val="NormalCharacter"/>
          <w:rFonts w:ascii="方正小标宋简体" w:eastAsia="方正小标宋简体" w:hAnsi="宋体" w:cs="Times New Roman" w:hint="eastAsia"/>
          <w:bCs/>
          <w:sz w:val="44"/>
          <w:szCs w:val="44"/>
        </w:rPr>
        <w:t>（2024年）</w:t>
      </w:r>
    </w:p>
    <w:p w14:paraId="76042A11" w14:textId="77777777" w:rsidR="003F41F0" w:rsidRDefault="003F41F0">
      <w:pPr>
        <w:snapToGrid w:val="0"/>
        <w:jc w:val="center"/>
        <w:textAlignment w:val="baseline"/>
        <w:rPr>
          <w:rStyle w:val="NormalCharacter"/>
          <w:rFonts w:ascii="Times New Roman" w:eastAsia="宋体" w:hAnsi="Times New Roman"/>
          <w:b/>
          <w:sz w:val="48"/>
          <w:szCs w:val="20"/>
        </w:rPr>
      </w:pPr>
    </w:p>
    <w:p w14:paraId="4A81369E" w14:textId="77777777" w:rsidR="003F41F0" w:rsidRDefault="003F41F0">
      <w:pPr>
        <w:snapToGrid w:val="0"/>
        <w:jc w:val="center"/>
        <w:textAlignment w:val="baseline"/>
        <w:rPr>
          <w:rStyle w:val="NormalCharacter"/>
          <w:rFonts w:ascii="Times New Roman" w:eastAsia="宋体" w:hAnsi="Times New Roman"/>
          <w:b/>
          <w:sz w:val="48"/>
          <w:szCs w:val="20"/>
        </w:rPr>
      </w:pPr>
    </w:p>
    <w:p w14:paraId="05FC29BA" w14:textId="77777777" w:rsidR="003F41F0" w:rsidRDefault="003F41F0">
      <w:pPr>
        <w:snapToGrid w:val="0"/>
        <w:spacing w:line="300" w:lineRule="auto"/>
        <w:jc w:val="center"/>
        <w:textAlignment w:val="baseline"/>
        <w:rPr>
          <w:rStyle w:val="NormalCharacter"/>
          <w:rFonts w:ascii="Times New Roman" w:eastAsia="宋体" w:hAnsi="Times New Roman"/>
          <w:b/>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3F41F0" w14:paraId="30898588" w14:textId="77777777">
        <w:trPr>
          <w:trHeight w:val="794"/>
          <w:jc w:val="center"/>
        </w:trPr>
        <w:tc>
          <w:tcPr>
            <w:tcW w:w="1507" w:type="dxa"/>
            <w:vMerge w:val="restart"/>
            <w:tcBorders>
              <w:top w:val="nil"/>
              <w:left w:val="nil"/>
              <w:bottom w:val="single" w:sz="4" w:space="0" w:color="000000"/>
              <w:right w:val="single" w:sz="4" w:space="0" w:color="000000"/>
            </w:tcBorders>
            <w:vAlign w:val="center"/>
          </w:tcPr>
          <w:p w14:paraId="37F4AA09" w14:textId="77777777" w:rsidR="003F41F0" w:rsidRDefault="00D3223F">
            <w:pPr>
              <w:snapToGrid w:val="0"/>
              <w:spacing w:line="240" w:lineRule="atLeast"/>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高校</w:t>
            </w:r>
          </w:p>
          <w:p w14:paraId="022FB7B9" w14:textId="77777777" w:rsidR="003F41F0" w:rsidRDefault="00D3223F">
            <w:pPr>
              <w:snapToGrid w:val="0"/>
              <w:spacing w:line="240" w:lineRule="atLeast"/>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（公章）</w:t>
            </w:r>
          </w:p>
        </w:tc>
        <w:tc>
          <w:tcPr>
            <w:tcW w:w="3977" w:type="dxa"/>
            <w:tcBorders>
              <w:top w:val="nil"/>
              <w:left w:val="single" w:sz="4" w:space="0" w:color="000000"/>
              <w:bottom w:val="single" w:sz="4" w:space="0" w:color="000000"/>
              <w:right w:val="nil"/>
            </w:tcBorders>
            <w:vAlign w:val="center"/>
          </w:tcPr>
          <w:p w14:paraId="3FD23A2F" w14:textId="77777777" w:rsidR="003F41F0" w:rsidRDefault="00D3223F">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名称：</w:t>
            </w:r>
            <w:r>
              <w:rPr>
                <w:rStyle w:val="NormalCharacter"/>
                <w:rFonts w:ascii="Times New Roman" w:eastAsia="宋体" w:hAnsi="Times New Roman" w:hint="eastAsia"/>
                <w:b/>
                <w:spacing w:val="-10"/>
                <w:szCs w:val="32"/>
              </w:rPr>
              <w:t>应用经济学</w:t>
            </w:r>
          </w:p>
        </w:tc>
      </w:tr>
      <w:tr w:rsidR="003F41F0" w14:paraId="4D338BA1" w14:textId="77777777">
        <w:trPr>
          <w:trHeight w:val="794"/>
          <w:jc w:val="center"/>
        </w:trPr>
        <w:tc>
          <w:tcPr>
            <w:tcW w:w="1507" w:type="dxa"/>
            <w:vMerge/>
            <w:tcBorders>
              <w:top w:val="single" w:sz="4" w:space="0" w:color="000000"/>
              <w:left w:val="nil"/>
              <w:bottom w:val="nil"/>
              <w:right w:val="single" w:sz="4" w:space="0" w:color="000000"/>
            </w:tcBorders>
            <w:vAlign w:val="center"/>
          </w:tcPr>
          <w:p w14:paraId="4243FBC0" w14:textId="77777777" w:rsidR="003F41F0" w:rsidRDefault="003F41F0">
            <w:pPr>
              <w:snapToGrid w:val="0"/>
              <w:spacing w:line="300" w:lineRule="auto"/>
              <w:jc w:val="center"/>
              <w:textAlignment w:val="baseline"/>
              <w:rPr>
                <w:rStyle w:val="NormalCharacter"/>
                <w:rFonts w:ascii="Times New Roman" w:eastAsia="宋体" w:hAnsi="Times New Roman"/>
                <w:b/>
                <w:spacing w:val="-10"/>
                <w:szCs w:val="32"/>
              </w:rPr>
            </w:pPr>
          </w:p>
        </w:tc>
        <w:tc>
          <w:tcPr>
            <w:tcW w:w="3977" w:type="dxa"/>
            <w:tcBorders>
              <w:top w:val="single" w:sz="4" w:space="0" w:color="000000"/>
              <w:left w:val="single" w:sz="4" w:space="0" w:color="000000"/>
              <w:bottom w:val="nil"/>
              <w:right w:val="nil"/>
            </w:tcBorders>
            <w:vAlign w:val="center"/>
          </w:tcPr>
          <w:p w14:paraId="555578A6" w14:textId="77777777" w:rsidR="003F41F0" w:rsidRDefault="00D3223F">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代码：</w:t>
            </w:r>
            <w:r>
              <w:rPr>
                <w:rStyle w:val="NormalCharacter"/>
                <w:rFonts w:ascii="Times New Roman" w:eastAsia="宋体" w:hAnsi="Times New Roman" w:hint="eastAsia"/>
                <w:b/>
                <w:spacing w:val="-10"/>
                <w:szCs w:val="32"/>
              </w:rPr>
              <w:t>0</w:t>
            </w:r>
            <w:r>
              <w:rPr>
                <w:rStyle w:val="NormalCharacter"/>
                <w:rFonts w:ascii="Times New Roman" w:eastAsia="宋体" w:hAnsi="Times New Roman"/>
                <w:b/>
                <w:spacing w:val="-10"/>
                <w:szCs w:val="32"/>
              </w:rPr>
              <w:t>202</w:t>
            </w:r>
          </w:p>
        </w:tc>
      </w:tr>
    </w:tbl>
    <w:p w14:paraId="1BEAC017" w14:textId="77777777" w:rsidR="003F41F0" w:rsidRDefault="003F41F0">
      <w:pPr>
        <w:snapToGrid w:val="0"/>
        <w:spacing w:line="300" w:lineRule="auto"/>
        <w:jc w:val="center"/>
        <w:textAlignment w:val="baseline"/>
        <w:rPr>
          <w:rStyle w:val="NormalCharacter"/>
          <w:rFonts w:ascii="Times New Roman" w:eastAsia="宋体" w:hAnsi="Times New Roman"/>
          <w:b/>
          <w:sz w:val="48"/>
          <w:szCs w:val="20"/>
        </w:rPr>
      </w:pPr>
    </w:p>
    <w:p w14:paraId="2FC5DBA5" w14:textId="77777777" w:rsidR="003F41F0" w:rsidRDefault="003F41F0">
      <w:pPr>
        <w:spacing w:line="560" w:lineRule="exact"/>
        <w:jc w:val="center"/>
        <w:textAlignment w:val="baseline"/>
        <w:rPr>
          <w:rStyle w:val="NormalCharacter"/>
          <w:rFonts w:ascii="Times New Roman" w:eastAsia="楷体_GB2312" w:hAnsi="Times New Roman"/>
          <w:b/>
          <w:sz w:val="30"/>
          <w:szCs w:val="30"/>
        </w:rPr>
      </w:pPr>
    </w:p>
    <w:p w14:paraId="7FCD0F3E" w14:textId="77777777" w:rsidR="003F41F0" w:rsidRDefault="003F41F0">
      <w:pPr>
        <w:pStyle w:val="Heading3"/>
        <w:widowControl/>
        <w:rPr>
          <w:rStyle w:val="NormalCharacter"/>
          <w:color w:val="auto"/>
        </w:rPr>
      </w:pPr>
    </w:p>
    <w:p w14:paraId="0EE41C45" w14:textId="77777777" w:rsidR="003F41F0" w:rsidRDefault="003F41F0">
      <w:pPr>
        <w:spacing w:line="560" w:lineRule="exact"/>
        <w:jc w:val="center"/>
        <w:textAlignment w:val="baseline"/>
        <w:rPr>
          <w:rStyle w:val="NormalCharacter"/>
          <w:rFonts w:ascii="Times New Roman" w:eastAsia="楷体_GB2312" w:hAnsi="Times New Roman"/>
          <w:b/>
          <w:sz w:val="30"/>
          <w:szCs w:val="30"/>
        </w:rPr>
      </w:pPr>
    </w:p>
    <w:p w14:paraId="08471847" w14:textId="77777777" w:rsidR="003F41F0" w:rsidRDefault="003F41F0">
      <w:pPr>
        <w:spacing w:line="560" w:lineRule="exact"/>
        <w:jc w:val="center"/>
        <w:textAlignment w:val="baseline"/>
        <w:rPr>
          <w:rStyle w:val="NormalCharacter"/>
          <w:rFonts w:ascii="Times New Roman" w:eastAsia="楷体_GB2312" w:hAnsi="Times New Roman"/>
          <w:b/>
          <w:szCs w:val="32"/>
        </w:rPr>
      </w:pPr>
    </w:p>
    <w:p w14:paraId="2E80CE87" w14:textId="77777777" w:rsidR="003F41F0" w:rsidRDefault="003F41F0">
      <w:pPr>
        <w:spacing w:line="560" w:lineRule="exact"/>
        <w:jc w:val="center"/>
        <w:textAlignment w:val="baseline"/>
        <w:rPr>
          <w:rStyle w:val="NormalCharacter"/>
          <w:rFonts w:ascii="Times New Roman" w:eastAsia="楷体_GB2312" w:hAnsi="Times New Roman"/>
          <w:b/>
          <w:szCs w:val="32"/>
        </w:rPr>
      </w:pPr>
    </w:p>
    <w:p w14:paraId="4377DCA6" w14:textId="77777777" w:rsidR="003F41F0" w:rsidRDefault="00D3223F">
      <w:pPr>
        <w:jc w:val="center"/>
        <w:rPr>
          <w:rStyle w:val="NormalCharacter"/>
          <w:rFonts w:ascii="Times New Roman" w:eastAsia="楷体_GB2312" w:hAnsi="Times New Roman"/>
          <w:b/>
          <w:szCs w:val="32"/>
        </w:rPr>
      </w:pPr>
      <w:r>
        <w:rPr>
          <w:rStyle w:val="NormalCharacter"/>
          <w:rFonts w:ascii="Times New Roman" w:eastAsia="楷体_GB2312" w:hAnsi="Times New Roman"/>
          <w:b/>
          <w:szCs w:val="32"/>
        </w:rPr>
        <w:t>202</w:t>
      </w:r>
      <w:r>
        <w:rPr>
          <w:rStyle w:val="NormalCharacter"/>
          <w:rFonts w:ascii="Times New Roman" w:eastAsia="楷体_GB2312" w:hAnsi="Times New Roman" w:hint="eastAsia"/>
          <w:b/>
          <w:szCs w:val="32"/>
        </w:rPr>
        <w:t>5</w:t>
      </w:r>
      <w:r>
        <w:rPr>
          <w:rStyle w:val="NormalCharacter"/>
          <w:rFonts w:ascii="Times New Roman" w:eastAsia="楷体_GB2312" w:hAnsi="Times New Roman"/>
          <w:b/>
          <w:szCs w:val="32"/>
        </w:rPr>
        <w:t>年</w:t>
      </w:r>
      <w:r>
        <w:rPr>
          <w:rStyle w:val="NormalCharacter"/>
          <w:rFonts w:ascii="Times New Roman" w:eastAsia="楷体_GB2312" w:hAnsi="Times New Roman" w:hint="eastAsia"/>
          <w:b/>
          <w:szCs w:val="32"/>
        </w:rPr>
        <w:t>1</w:t>
      </w:r>
      <w:r>
        <w:rPr>
          <w:rStyle w:val="NormalCharacter"/>
          <w:rFonts w:ascii="Times New Roman" w:eastAsia="楷体_GB2312" w:hAnsi="Times New Roman"/>
          <w:b/>
          <w:szCs w:val="32"/>
        </w:rPr>
        <w:t>月</w:t>
      </w:r>
      <w:r>
        <w:rPr>
          <w:rStyle w:val="NormalCharacter"/>
          <w:rFonts w:ascii="Times New Roman" w:eastAsia="楷体_GB2312" w:hAnsi="Times New Roman"/>
          <w:b/>
          <w:szCs w:val="32"/>
        </w:rPr>
        <w:t xml:space="preserve"> </w:t>
      </w:r>
      <w:r>
        <w:rPr>
          <w:rStyle w:val="NormalCharacter"/>
          <w:rFonts w:ascii="Times New Roman" w:eastAsia="楷体_GB2312" w:hAnsi="Times New Roman" w:hint="eastAsia"/>
          <w:b/>
          <w:szCs w:val="32"/>
        </w:rPr>
        <w:t>17</w:t>
      </w:r>
      <w:r>
        <w:rPr>
          <w:rStyle w:val="NormalCharacter"/>
          <w:rFonts w:ascii="Times New Roman" w:eastAsia="楷体_GB2312" w:hAnsi="Times New Roman"/>
          <w:b/>
          <w:szCs w:val="32"/>
        </w:rPr>
        <w:t>日</w:t>
      </w:r>
    </w:p>
    <w:p w14:paraId="01A4F859" w14:textId="77777777" w:rsidR="003F41F0" w:rsidRDefault="003F41F0">
      <w:pPr>
        <w:rPr>
          <w:rFonts w:ascii="Times New Roman" w:eastAsia="楷体_GB2312" w:hAnsi="Times New Roman"/>
          <w:szCs w:val="32"/>
        </w:rPr>
      </w:pPr>
    </w:p>
    <w:p w14:paraId="7E2737CF" w14:textId="77777777" w:rsidR="003F41F0" w:rsidRDefault="00D3223F">
      <w:pPr>
        <w:spacing w:line="560" w:lineRule="exact"/>
        <w:jc w:val="center"/>
        <w:textAlignment w:val="baseline"/>
        <w:rPr>
          <w:rFonts w:ascii="Times New Roman" w:eastAsia="楷体_GB2312" w:hAnsi="Times New Roman"/>
          <w:szCs w:val="32"/>
        </w:rPr>
      </w:pPr>
      <w:r>
        <w:rPr>
          <w:rFonts w:ascii="Times New Roman" w:eastAsia="楷体_GB2312" w:hAnsi="Times New Roman"/>
          <w:szCs w:val="32"/>
        </w:rPr>
        <w:tab/>
      </w:r>
    </w:p>
    <w:p w14:paraId="06C4605A" w14:textId="77777777" w:rsidR="003F41F0" w:rsidRDefault="00D3223F">
      <w:pPr>
        <w:pStyle w:val="3"/>
      </w:pPr>
      <w:r>
        <w:br w:type="page"/>
      </w:r>
    </w:p>
    <w:p w14:paraId="03A816A3" w14:textId="77777777" w:rsidR="003F41F0" w:rsidRDefault="00D3223F">
      <w:pPr>
        <w:pStyle w:val="10"/>
        <w:spacing w:before="0" w:after="0"/>
        <w:ind w:firstLineChars="200" w:firstLine="562"/>
        <w:rPr>
          <w:b/>
          <w:sz w:val="28"/>
          <w:szCs w:val="28"/>
        </w:rPr>
      </w:pPr>
      <w:r>
        <w:rPr>
          <w:rFonts w:hint="eastAsia"/>
          <w:b/>
          <w:sz w:val="28"/>
          <w:szCs w:val="28"/>
        </w:rPr>
        <w:lastRenderedPageBreak/>
        <w:t>一、总体概况</w:t>
      </w:r>
    </w:p>
    <w:p w14:paraId="107ABEF8" w14:textId="77777777" w:rsidR="003F41F0" w:rsidRDefault="00D3223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“始有暨南，便有商科”。暨南大学应用经济学科由国务院（原政务院）副总理黄炎培先生创设于</w:t>
      </w:r>
      <w:r>
        <w:rPr>
          <w:rFonts w:ascii="Times New Roman" w:eastAsia="仿宋" w:hAnsi="Times New Roman" w:cs="仿宋"/>
          <w:color w:val="000000"/>
          <w:sz w:val="28"/>
          <w:szCs w:val="28"/>
        </w:rPr>
        <w:t>1918</w:t>
      </w:r>
      <w:r>
        <w:rPr>
          <w:rFonts w:ascii="Times New Roman" w:eastAsia="仿宋" w:hAnsi="Times New Roman" w:cs="仿宋"/>
          <w:color w:val="000000"/>
          <w:sz w:val="28"/>
          <w:szCs w:val="28"/>
        </w:rPr>
        <w:t>年，至今已有</w:t>
      </w:r>
      <w:r>
        <w:rPr>
          <w:rFonts w:ascii="Times New Roman" w:eastAsia="仿宋" w:hAnsi="Times New Roman" w:cs="仿宋"/>
          <w:color w:val="000000"/>
          <w:sz w:val="28"/>
          <w:szCs w:val="28"/>
        </w:rPr>
        <w:t>1</w:t>
      </w:r>
      <w:r>
        <w:rPr>
          <w:rFonts w:ascii="Times New Roman" w:eastAsia="仿宋" w:hAnsi="Times New Roman" w:cs="仿宋" w:hint="eastAsia"/>
          <w:color w:val="000000"/>
          <w:sz w:val="28"/>
          <w:szCs w:val="28"/>
        </w:rPr>
        <w:t>06</w:t>
      </w:r>
      <w:r>
        <w:rPr>
          <w:rFonts w:ascii="Times New Roman" w:eastAsia="仿宋" w:hAnsi="Times New Roman" w:cs="仿宋"/>
          <w:color w:val="000000"/>
          <w:sz w:val="28"/>
          <w:szCs w:val="28"/>
        </w:rPr>
        <w:t>年历史。马寅初、王亚南、陈彪如等一大批经济学家执教暨南，发展至今，已经成为暨南大学的金字招牌之一。学科于</w:t>
      </w:r>
      <w:r>
        <w:rPr>
          <w:rFonts w:ascii="Times New Roman" w:eastAsia="仿宋" w:hAnsi="Times New Roman" w:cs="仿宋"/>
          <w:color w:val="000000"/>
          <w:sz w:val="28"/>
          <w:szCs w:val="28"/>
        </w:rPr>
        <w:t>1986</w:t>
      </w:r>
      <w:r>
        <w:rPr>
          <w:rFonts w:ascii="Times New Roman" w:eastAsia="仿宋" w:hAnsi="Times New Roman" w:cs="仿宋"/>
          <w:color w:val="000000"/>
          <w:sz w:val="28"/>
          <w:szCs w:val="28"/>
        </w:rPr>
        <w:t>年获</w:t>
      </w:r>
      <w:proofErr w:type="gramStart"/>
      <w:r>
        <w:rPr>
          <w:rFonts w:ascii="Times New Roman" w:eastAsia="仿宋" w:hAnsi="Times New Roman" w:cs="仿宋"/>
          <w:color w:val="000000"/>
          <w:sz w:val="28"/>
          <w:szCs w:val="28"/>
        </w:rPr>
        <w:t>批产业</w:t>
      </w:r>
      <w:proofErr w:type="gramEnd"/>
      <w:r>
        <w:rPr>
          <w:rFonts w:ascii="Times New Roman" w:eastAsia="仿宋" w:hAnsi="Times New Roman" w:cs="仿宋"/>
          <w:color w:val="000000"/>
          <w:sz w:val="28"/>
          <w:szCs w:val="28"/>
        </w:rPr>
        <w:t>经济学博士点、</w:t>
      </w:r>
      <w:r>
        <w:rPr>
          <w:rFonts w:ascii="Times New Roman" w:eastAsia="仿宋" w:hAnsi="Times New Roman" w:cs="仿宋"/>
          <w:color w:val="000000"/>
          <w:sz w:val="28"/>
          <w:szCs w:val="28"/>
        </w:rPr>
        <w:t>1998</w:t>
      </w:r>
      <w:r>
        <w:rPr>
          <w:rFonts w:ascii="Times New Roman" w:eastAsia="仿宋" w:hAnsi="Times New Roman" w:cs="仿宋"/>
          <w:color w:val="000000"/>
          <w:sz w:val="28"/>
          <w:szCs w:val="28"/>
        </w:rPr>
        <w:t>年获</w:t>
      </w:r>
      <w:proofErr w:type="gramStart"/>
      <w:r>
        <w:rPr>
          <w:rFonts w:ascii="Times New Roman" w:eastAsia="仿宋" w:hAnsi="Times New Roman" w:cs="仿宋"/>
          <w:color w:val="000000"/>
          <w:sz w:val="28"/>
          <w:szCs w:val="28"/>
        </w:rPr>
        <w:t>批金融</w:t>
      </w:r>
      <w:proofErr w:type="gramEnd"/>
      <w:r>
        <w:rPr>
          <w:rFonts w:ascii="Times New Roman" w:eastAsia="仿宋" w:hAnsi="Times New Roman" w:cs="仿宋"/>
          <w:color w:val="000000"/>
          <w:sz w:val="28"/>
          <w:szCs w:val="28"/>
        </w:rPr>
        <w:t>学博士点、</w:t>
      </w:r>
      <w:r>
        <w:rPr>
          <w:rFonts w:ascii="Times New Roman" w:eastAsia="仿宋" w:hAnsi="Times New Roman" w:cs="仿宋"/>
          <w:color w:val="000000"/>
          <w:sz w:val="28"/>
          <w:szCs w:val="28"/>
        </w:rPr>
        <w:t>1999</w:t>
      </w:r>
      <w:r>
        <w:rPr>
          <w:rFonts w:ascii="Times New Roman" w:eastAsia="仿宋" w:hAnsi="Times New Roman" w:cs="仿宋"/>
          <w:color w:val="000000"/>
          <w:sz w:val="28"/>
          <w:szCs w:val="28"/>
        </w:rPr>
        <w:t>年获</w:t>
      </w:r>
      <w:proofErr w:type="gramStart"/>
      <w:r>
        <w:rPr>
          <w:rFonts w:ascii="Times New Roman" w:eastAsia="仿宋" w:hAnsi="Times New Roman" w:cs="仿宋"/>
          <w:color w:val="000000"/>
          <w:sz w:val="28"/>
          <w:szCs w:val="28"/>
        </w:rPr>
        <w:t>批应用</w:t>
      </w:r>
      <w:proofErr w:type="gramEnd"/>
      <w:r>
        <w:rPr>
          <w:rFonts w:ascii="Times New Roman" w:eastAsia="仿宋" w:hAnsi="Times New Roman" w:cs="仿宋"/>
          <w:color w:val="000000"/>
          <w:sz w:val="28"/>
          <w:szCs w:val="28"/>
        </w:rPr>
        <w:t>经济学博士后流动站、</w:t>
      </w:r>
      <w:r>
        <w:rPr>
          <w:rFonts w:ascii="Times New Roman" w:eastAsia="仿宋" w:hAnsi="Times New Roman" w:cs="仿宋"/>
          <w:color w:val="000000"/>
          <w:sz w:val="28"/>
          <w:szCs w:val="28"/>
        </w:rPr>
        <w:t>2003</w:t>
      </w:r>
      <w:r>
        <w:rPr>
          <w:rFonts w:ascii="Times New Roman" w:eastAsia="仿宋" w:hAnsi="Times New Roman" w:cs="仿宋"/>
          <w:color w:val="000000"/>
          <w:sz w:val="28"/>
          <w:szCs w:val="28"/>
        </w:rPr>
        <w:t>年获</w:t>
      </w:r>
      <w:proofErr w:type="gramStart"/>
      <w:r>
        <w:rPr>
          <w:rFonts w:ascii="Times New Roman" w:eastAsia="仿宋" w:hAnsi="Times New Roman" w:cs="仿宋"/>
          <w:color w:val="000000"/>
          <w:sz w:val="28"/>
          <w:szCs w:val="28"/>
        </w:rPr>
        <w:t>批应用</w:t>
      </w:r>
      <w:proofErr w:type="gramEnd"/>
      <w:r>
        <w:rPr>
          <w:rFonts w:ascii="Times New Roman" w:eastAsia="仿宋" w:hAnsi="Times New Roman" w:cs="仿宋"/>
          <w:color w:val="000000"/>
          <w:sz w:val="28"/>
          <w:szCs w:val="28"/>
        </w:rPr>
        <w:t>经济学一级学科博士点，均为华南地区高校之首获。</w:t>
      </w:r>
    </w:p>
    <w:p w14:paraId="6AB38E3F" w14:textId="77777777" w:rsidR="003F41F0" w:rsidRDefault="00D3223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经过百年积淀和暨大复办四十多年来的快速发展，如今应用经济学科覆盖产业经济学、金融学、劳动力流动与区域经济、绿色经济与可持续发展、财政学等方向，优势明显、师资力量雄厚、办学质量优良、社会影响广泛、国际化日益凸显，学科排名在国内位居前列。根据“</w:t>
      </w:r>
      <w:r>
        <w:rPr>
          <w:rFonts w:ascii="Times New Roman" w:eastAsia="仿宋" w:hAnsi="Times New Roman" w:cs="仿宋" w:hint="eastAsia"/>
          <w:color w:val="000000"/>
          <w:sz w:val="28"/>
          <w:szCs w:val="28"/>
        </w:rPr>
        <w:t>2021</w:t>
      </w:r>
      <w:r>
        <w:rPr>
          <w:rFonts w:ascii="Times New Roman" w:eastAsia="仿宋" w:hAnsi="Times New Roman" w:cs="仿宋" w:hint="eastAsia"/>
          <w:color w:val="000000"/>
          <w:sz w:val="28"/>
          <w:szCs w:val="28"/>
        </w:rPr>
        <w:t>年软科中国最好学科排名”，暨南大学应用经济学进入全国前</w:t>
      </w:r>
      <w:r>
        <w:rPr>
          <w:rFonts w:ascii="Times New Roman" w:eastAsia="仿宋" w:hAnsi="Times New Roman" w:cs="仿宋" w:hint="eastAsia"/>
          <w:color w:val="000000"/>
          <w:sz w:val="28"/>
          <w:szCs w:val="28"/>
        </w:rPr>
        <w:t>5%</w:t>
      </w:r>
      <w:r>
        <w:rPr>
          <w:rFonts w:ascii="Times New Roman" w:eastAsia="仿宋" w:hAnsi="Times New Roman" w:cs="仿宋" w:hint="eastAsia"/>
          <w:color w:val="000000"/>
          <w:sz w:val="28"/>
          <w:szCs w:val="28"/>
        </w:rPr>
        <w:t>，位列全国第</w:t>
      </w:r>
      <w:r>
        <w:rPr>
          <w:rFonts w:ascii="Times New Roman" w:eastAsia="仿宋" w:hAnsi="Times New Roman" w:cs="仿宋" w:hint="eastAsia"/>
          <w:color w:val="000000"/>
          <w:sz w:val="28"/>
          <w:szCs w:val="28"/>
        </w:rPr>
        <w:t>9</w:t>
      </w:r>
      <w:r>
        <w:rPr>
          <w:rFonts w:ascii="Times New Roman" w:eastAsia="仿宋" w:hAnsi="Times New Roman" w:cs="仿宋" w:hint="eastAsia"/>
          <w:color w:val="000000"/>
          <w:sz w:val="28"/>
          <w:szCs w:val="28"/>
        </w:rPr>
        <w:t>名；</w:t>
      </w:r>
      <w:r>
        <w:rPr>
          <w:rFonts w:ascii="Times New Roman" w:eastAsia="仿宋" w:hAnsi="Times New Roman" w:cs="仿宋" w:hint="eastAsia"/>
          <w:color w:val="000000"/>
          <w:sz w:val="28"/>
          <w:szCs w:val="28"/>
        </w:rPr>
        <w:t>2022</w:t>
      </w:r>
      <w:r>
        <w:rPr>
          <w:rFonts w:ascii="Times New Roman" w:eastAsia="仿宋" w:hAnsi="Times New Roman" w:cs="仿宋" w:hint="eastAsia"/>
          <w:color w:val="000000"/>
          <w:sz w:val="28"/>
          <w:szCs w:val="28"/>
        </w:rPr>
        <w:t>泰晤士高等教育中国学科评级中应用经济学首次获评</w:t>
      </w:r>
      <w:r>
        <w:rPr>
          <w:rFonts w:ascii="Times New Roman" w:eastAsia="仿宋" w:hAnsi="Times New Roman" w:cs="仿宋" w:hint="eastAsia"/>
          <w:color w:val="000000"/>
          <w:sz w:val="28"/>
          <w:szCs w:val="28"/>
        </w:rPr>
        <w:t>A-</w:t>
      </w:r>
      <w:r>
        <w:rPr>
          <w:rFonts w:ascii="Times New Roman" w:eastAsia="仿宋" w:hAnsi="Times New Roman" w:cs="仿宋" w:hint="eastAsia"/>
          <w:color w:val="000000"/>
          <w:sz w:val="28"/>
          <w:szCs w:val="28"/>
        </w:rPr>
        <w:t>等级。“</w:t>
      </w:r>
      <w:r>
        <w:rPr>
          <w:rFonts w:ascii="Times New Roman" w:eastAsia="仿宋" w:hAnsi="Times New Roman" w:cs="仿宋" w:hint="eastAsia"/>
          <w:color w:val="000000"/>
          <w:sz w:val="28"/>
          <w:szCs w:val="28"/>
        </w:rPr>
        <w:t>2023</w:t>
      </w:r>
      <w:r>
        <w:rPr>
          <w:rFonts w:ascii="Times New Roman" w:eastAsia="仿宋" w:hAnsi="Times New Roman" w:cs="仿宋" w:hint="eastAsia"/>
          <w:color w:val="000000"/>
          <w:sz w:val="28"/>
          <w:szCs w:val="28"/>
        </w:rPr>
        <w:t>软科中国最好学科排名”暨南大学位列中国内地高校第</w:t>
      </w:r>
      <w:r>
        <w:rPr>
          <w:rFonts w:ascii="Times New Roman" w:eastAsia="仿宋" w:hAnsi="Times New Roman" w:cs="仿宋" w:hint="eastAsia"/>
          <w:color w:val="000000"/>
          <w:sz w:val="28"/>
          <w:szCs w:val="28"/>
        </w:rPr>
        <w:t>14</w:t>
      </w:r>
      <w:r>
        <w:rPr>
          <w:rFonts w:ascii="Times New Roman" w:eastAsia="仿宋" w:hAnsi="Times New Roman" w:cs="仿宋" w:hint="eastAsia"/>
          <w:color w:val="000000"/>
          <w:sz w:val="28"/>
          <w:szCs w:val="28"/>
        </w:rPr>
        <w:t>位，广东省第</w:t>
      </w:r>
      <w:r>
        <w:rPr>
          <w:rFonts w:ascii="Times New Roman" w:eastAsia="仿宋" w:hAnsi="Times New Roman" w:cs="仿宋" w:hint="eastAsia"/>
          <w:color w:val="000000"/>
          <w:sz w:val="28"/>
          <w:szCs w:val="28"/>
        </w:rPr>
        <w:t>1</w:t>
      </w:r>
      <w:r>
        <w:rPr>
          <w:rFonts w:ascii="Times New Roman" w:eastAsia="仿宋" w:hAnsi="Times New Roman" w:cs="仿宋" w:hint="eastAsia"/>
          <w:color w:val="000000"/>
          <w:sz w:val="28"/>
          <w:szCs w:val="28"/>
        </w:rPr>
        <w:t>位。</w:t>
      </w:r>
    </w:p>
    <w:p w14:paraId="49683E8A" w14:textId="77777777" w:rsidR="003F41F0" w:rsidRDefault="00D3223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目前学位</w:t>
      </w:r>
      <w:proofErr w:type="gramStart"/>
      <w:r>
        <w:rPr>
          <w:rFonts w:ascii="Times New Roman" w:eastAsia="仿宋" w:hAnsi="Times New Roman" w:cs="仿宋" w:hint="eastAsia"/>
          <w:color w:val="000000"/>
          <w:sz w:val="28"/>
          <w:szCs w:val="28"/>
        </w:rPr>
        <w:t>点拥有</w:t>
      </w:r>
      <w:proofErr w:type="gramEnd"/>
      <w:r>
        <w:rPr>
          <w:rFonts w:ascii="Times New Roman" w:eastAsia="仿宋" w:hAnsi="Times New Roman" w:cs="仿宋" w:hint="eastAsia"/>
          <w:color w:val="000000"/>
          <w:sz w:val="28"/>
          <w:szCs w:val="28"/>
        </w:rPr>
        <w:t>专职教师</w:t>
      </w:r>
      <w:r>
        <w:rPr>
          <w:rFonts w:ascii="Times New Roman" w:eastAsia="仿宋" w:hAnsi="Times New Roman" w:cs="仿宋"/>
          <w:color w:val="000000"/>
          <w:sz w:val="28"/>
          <w:szCs w:val="28"/>
        </w:rPr>
        <w:t>1</w:t>
      </w:r>
      <w:r>
        <w:rPr>
          <w:rFonts w:ascii="Times New Roman" w:eastAsia="仿宋" w:hAnsi="Times New Roman" w:cs="仿宋" w:hint="eastAsia"/>
          <w:color w:val="000000"/>
          <w:sz w:val="28"/>
          <w:szCs w:val="28"/>
        </w:rPr>
        <w:t>72</w:t>
      </w:r>
      <w:r>
        <w:rPr>
          <w:rFonts w:ascii="Times New Roman" w:eastAsia="仿宋" w:hAnsi="Times New Roman" w:cs="仿宋"/>
          <w:color w:val="000000"/>
          <w:sz w:val="28"/>
          <w:szCs w:val="28"/>
        </w:rPr>
        <w:t>人，其中国家重大人才工程领军人才等省部级以上人才</w:t>
      </w:r>
      <w:r>
        <w:rPr>
          <w:rFonts w:ascii="Times New Roman" w:eastAsia="仿宋" w:hAnsi="Times New Roman" w:cs="仿宋"/>
          <w:color w:val="000000"/>
          <w:sz w:val="28"/>
          <w:szCs w:val="28"/>
        </w:rPr>
        <w:t>40</w:t>
      </w:r>
      <w:r>
        <w:rPr>
          <w:rFonts w:ascii="Times New Roman" w:eastAsia="仿宋" w:hAnsi="Times New Roman" w:cs="仿宋"/>
          <w:color w:val="000000"/>
          <w:sz w:val="28"/>
          <w:szCs w:val="28"/>
        </w:rPr>
        <w:t>余人次；博士生导师</w:t>
      </w:r>
      <w:r>
        <w:rPr>
          <w:rFonts w:ascii="Times New Roman" w:eastAsia="仿宋" w:hAnsi="Times New Roman" w:cs="仿宋" w:hint="eastAsia"/>
          <w:color w:val="000000"/>
          <w:sz w:val="28"/>
          <w:szCs w:val="28"/>
        </w:rPr>
        <w:t>51</w:t>
      </w:r>
      <w:r>
        <w:rPr>
          <w:rFonts w:ascii="Times New Roman" w:eastAsia="仿宋" w:hAnsi="Times New Roman" w:cs="仿宋"/>
          <w:color w:val="000000"/>
          <w:sz w:val="28"/>
          <w:szCs w:val="28"/>
        </w:rPr>
        <w:t>人，硕士生导师</w:t>
      </w:r>
      <w:r>
        <w:rPr>
          <w:rFonts w:ascii="Times New Roman" w:eastAsia="仿宋" w:hAnsi="Times New Roman" w:cs="仿宋" w:hint="eastAsia"/>
          <w:color w:val="000000"/>
          <w:sz w:val="28"/>
          <w:szCs w:val="28"/>
        </w:rPr>
        <w:t>142</w:t>
      </w:r>
      <w:r>
        <w:rPr>
          <w:rFonts w:ascii="Times New Roman" w:eastAsia="仿宋" w:hAnsi="Times New Roman" w:cs="仿宋"/>
          <w:color w:val="000000"/>
          <w:sz w:val="28"/>
          <w:szCs w:val="28"/>
        </w:rPr>
        <w:t>人。</w:t>
      </w:r>
    </w:p>
    <w:p w14:paraId="0D84BB55" w14:textId="77777777" w:rsidR="003F41F0" w:rsidRDefault="00D3223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2024</w:t>
      </w:r>
      <w:r>
        <w:rPr>
          <w:rFonts w:ascii="Times New Roman" w:eastAsia="仿宋" w:hAnsi="Times New Roman" w:cs="仿宋" w:hint="eastAsia"/>
          <w:color w:val="000000"/>
          <w:sz w:val="28"/>
          <w:szCs w:val="28"/>
        </w:rPr>
        <w:t>年应用经济学录取博士</w:t>
      </w:r>
      <w:r>
        <w:rPr>
          <w:rFonts w:ascii="Times New Roman" w:eastAsia="仿宋" w:hAnsi="Times New Roman" w:cs="仿宋" w:hint="eastAsia"/>
          <w:color w:val="000000"/>
          <w:sz w:val="28"/>
          <w:szCs w:val="28"/>
        </w:rPr>
        <w:t>38</w:t>
      </w:r>
      <w:r>
        <w:rPr>
          <w:rFonts w:ascii="Times New Roman" w:eastAsia="仿宋" w:hAnsi="Times New Roman" w:cs="仿宋" w:hint="eastAsia"/>
          <w:color w:val="000000"/>
          <w:sz w:val="28"/>
          <w:szCs w:val="28"/>
        </w:rPr>
        <w:t>人，录取硕士</w:t>
      </w:r>
      <w:r>
        <w:rPr>
          <w:rFonts w:ascii="Times New Roman" w:eastAsia="仿宋" w:hAnsi="Times New Roman" w:cs="仿宋" w:hint="eastAsia"/>
          <w:color w:val="000000"/>
          <w:sz w:val="28"/>
          <w:szCs w:val="28"/>
        </w:rPr>
        <w:t>180</w:t>
      </w:r>
      <w:r>
        <w:rPr>
          <w:rFonts w:ascii="Times New Roman" w:eastAsia="仿宋" w:hAnsi="Times New Roman" w:cs="仿宋" w:hint="eastAsia"/>
          <w:color w:val="000000"/>
          <w:sz w:val="28"/>
          <w:szCs w:val="28"/>
        </w:rPr>
        <w:t>人，统招报名人数达到</w:t>
      </w:r>
      <w:r>
        <w:rPr>
          <w:rFonts w:ascii="Times New Roman" w:eastAsia="仿宋" w:hAnsi="Times New Roman" w:cs="仿宋" w:hint="eastAsia"/>
          <w:color w:val="000000"/>
          <w:sz w:val="28"/>
          <w:szCs w:val="28"/>
        </w:rPr>
        <w:t>1000</w:t>
      </w:r>
      <w:r>
        <w:rPr>
          <w:rFonts w:ascii="Times New Roman" w:eastAsia="仿宋" w:hAnsi="Times New Roman" w:cs="仿宋" w:hint="eastAsia"/>
          <w:color w:val="000000"/>
          <w:sz w:val="28"/>
          <w:szCs w:val="28"/>
        </w:rPr>
        <w:t>人，考生报名踊跃，如金融学报录比达到</w:t>
      </w:r>
      <w:r>
        <w:rPr>
          <w:rFonts w:ascii="Times New Roman" w:eastAsia="仿宋" w:hAnsi="Times New Roman" w:cs="仿宋" w:hint="eastAsia"/>
          <w:color w:val="000000"/>
          <w:sz w:val="28"/>
          <w:szCs w:val="28"/>
        </w:rPr>
        <w:t>12:1</w:t>
      </w:r>
      <w:r>
        <w:rPr>
          <w:rFonts w:ascii="Times New Roman" w:eastAsia="仿宋" w:hAnsi="Times New Roman" w:cs="仿宋" w:hint="eastAsia"/>
          <w:color w:val="000000"/>
          <w:sz w:val="28"/>
          <w:szCs w:val="28"/>
        </w:rPr>
        <w:t>。</w:t>
      </w:r>
    </w:p>
    <w:p w14:paraId="30E8A884" w14:textId="77777777" w:rsidR="003F41F0" w:rsidRDefault="00D3223F">
      <w:pPr>
        <w:spacing w:line="580" w:lineRule="exact"/>
        <w:ind w:firstLineChars="200" w:firstLine="560"/>
        <w:rPr>
          <w:rFonts w:ascii="Times New Roman" w:eastAsia="楷体_GB2312" w:hAnsi="Times New Roman"/>
          <w:b/>
          <w:sz w:val="28"/>
          <w:szCs w:val="28"/>
        </w:rPr>
      </w:pPr>
      <w:r>
        <w:rPr>
          <w:rFonts w:ascii="Times New Roman" w:eastAsia="仿宋" w:hAnsi="Times New Roman" w:cs="仿宋" w:hint="eastAsia"/>
          <w:color w:val="000000"/>
          <w:sz w:val="28"/>
          <w:szCs w:val="28"/>
        </w:rPr>
        <w:t>学生就业情况良好，</w:t>
      </w:r>
      <w:r>
        <w:rPr>
          <w:rFonts w:ascii="Times New Roman" w:eastAsia="仿宋" w:hAnsi="Times New Roman" w:cs="仿宋" w:hint="eastAsia"/>
          <w:color w:val="000000"/>
          <w:sz w:val="28"/>
          <w:szCs w:val="28"/>
        </w:rPr>
        <w:t>2024</w:t>
      </w:r>
      <w:r>
        <w:rPr>
          <w:rFonts w:ascii="Times New Roman" w:eastAsia="仿宋" w:hAnsi="Times New Roman" w:cs="仿宋" w:hint="eastAsia"/>
          <w:color w:val="000000"/>
          <w:sz w:val="28"/>
          <w:szCs w:val="28"/>
        </w:rPr>
        <w:t>届研究生的整体就业落实率达到</w:t>
      </w:r>
      <w:r>
        <w:rPr>
          <w:rFonts w:ascii="Times New Roman" w:eastAsia="仿宋" w:hAnsi="Times New Roman" w:cs="仿宋" w:hint="eastAsia"/>
          <w:color w:val="000000"/>
          <w:sz w:val="28"/>
          <w:szCs w:val="28"/>
        </w:rPr>
        <w:t>95%</w:t>
      </w:r>
      <w:r>
        <w:rPr>
          <w:rFonts w:ascii="Times New Roman" w:eastAsia="仿宋" w:hAnsi="Times New Roman" w:cs="仿宋" w:hint="eastAsia"/>
          <w:color w:val="000000"/>
          <w:sz w:val="28"/>
          <w:szCs w:val="28"/>
        </w:rPr>
        <w:t>，就业行业类别呈多元分布，其中排名前五位的分别是金融业（占比</w:t>
      </w:r>
      <w:r>
        <w:rPr>
          <w:rFonts w:ascii="Times New Roman" w:eastAsia="仿宋" w:hAnsi="Times New Roman" w:cs="仿宋" w:hint="eastAsia"/>
          <w:color w:val="000000"/>
          <w:sz w:val="28"/>
          <w:szCs w:val="28"/>
        </w:rPr>
        <w:t>34%</w:t>
      </w:r>
      <w:r>
        <w:rPr>
          <w:rFonts w:ascii="Times New Roman" w:eastAsia="仿宋" w:hAnsi="Times New Roman" w:cs="仿宋" w:hint="eastAsia"/>
          <w:color w:val="000000"/>
          <w:sz w:val="28"/>
          <w:szCs w:val="28"/>
        </w:rPr>
        <w:t>）、国家机构（占比</w:t>
      </w:r>
      <w:r>
        <w:rPr>
          <w:rFonts w:ascii="Times New Roman" w:eastAsia="仿宋" w:hAnsi="Times New Roman" w:cs="仿宋" w:hint="eastAsia"/>
          <w:color w:val="000000"/>
          <w:sz w:val="28"/>
          <w:szCs w:val="28"/>
        </w:rPr>
        <w:t>16%</w:t>
      </w:r>
      <w:r>
        <w:rPr>
          <w:rFonts w:ascii="Times New Roman" w:eastAsia="仿宋" w:hAnsi="Times New Roman" w:cs="仿宋" w:hint="eastAsia"/>
          <w:color w:val="000000"/>
          <w:sz w:val="28"/>
          <w:szCs w:val="28"/>
        </w:rPr>
        <w:t>）、教育行业（</w:t>
      </w:r>
      <w:r>
        <w:rPr>
          <w:rFonts w:ascii="Times New Roman" w:eastAsia="仿宋" w:hAnsi="Times New Roman" w:cs="仿宋" w:hint="eastAsia"/>
          <w:color w:val="000000"/>
          <w:sz w:val="28"/>
          <w:szCs w:val="28"/>
        </w:rPr>
        <w:t>12%</w:t>
      </w:r>
      <w:r>
        <w:rPr>
          <w:rFonts w:ascii="Times New Roman" w:eastAsia="仿宋" w:hAnsi="Times New Roman" w:cs="仿宋" w:hint="eastAsia"/>
          <w:color w:val="000000"/>
          <w:sz w:val="28"/>
          <w:szCs w:val="28"/>
        </w:rPr>
        <w:t>）、互联网科技（占比</w:t>
      </w:r>
      <w:r>
        <w:rPr>
          <w:rFonts w:ascii="Times New Roman" w:eastAsia="仿宋" w:hAnsi="Times New Roman" w:cs="仿宋" w:hint="eastAsia"/>
          <w:color w:val="000000"/>
          <w:sz w:val="28"/>
          <w:szCs w:val="28"/>
        </w:rPr>
        <w:t>9%</w:t>
      </w:r>
      <w:r>
        <w:rPr>
          <w:rFonts w:ascii="Times New Roman" w:eastAsia="仿宋" w:hAnsi="Times New Roman" w:cs="仿宋" w:hint="eastAsia"/>
          <w:color w:val="000000"/>
          <w:sz w:val="28"/>
          <w:szCs w:val="28"/>
        </w:rPr>
        <w:t>）以及商业术服务业（占比</w:t>
      </w:r>
      <w:r>
        <w:rPr>
          <w:rFonts w:ascii="Times New Roman" w:eastAsia="仿宋" w:hAnsi="Times New Roman" w:cs="仿宋" w:hint="eastAsia"/>
          <w:color w:val="000000"/>
          <w:sz w:val="28"/>
          <w:szCs w:val="28"/>
        </w:rPr>
        <w:t>6%</w:t>
      </w:r>
      <w:r>
        <w:rPr>
          <w:rFonts w:ascii="Times New Roman" w:eastAsia="仿宋" w:hAnsi="Times New Roman" w:cs="仿宋" w:hint="eastAsia"/>
          <w:color w:val="000000"/>
          <w:sz w:val="28"/>
          <w:szCs w:val="28"/>
        </w:rPr>
        <w:t>）。</w:t>
      </w:r>
    </w:p>
    <w:p w14:paraId="718A2535" w14:textId="77777777" w:rsidR="003F41F0" w:rsidRDefault="00D3223F">
      <w:pPr>
        <w:pStyle w:val="10"/>
        <w:spacing w:before="0" w:after="0"/>
        <w:ind w:firstLineChars="200" w:firstLine="562"/>
        <w:rPr>
          <w:sz w:val="28"/>
          <w:szCs w:val="28"/>
        </w:rPr>
      </w:pPr>
      <w:r>
        <w:rPr>
          <w:rFonts w:hint="eastAsia"/>
          <w:b/>
          <w:bCs w:val="0"/>
          <w:sz w:val="28"/>
          <w:szCs w:val="28"/>
        </w:rPr>
        <w:t>二、目标与标准</w:t>
      </w:r>
    </w:p>
    <w:p w14:paraId="4AECBBBE" w14:textId="77777777" w:rsidR="00A77D3F" w:rsidRDefault="00D3223F" w:rsidP="00A77D3F">
      <w:pPr>
        <w:spacing w:line="560" w:lineRule="exact"/>
        <w:ind w:firstLineChars="200" w:firstLine="560"/>
        <w:jc w:val="left"/>
        <w:textAlignment w:val="baseline"/>
        <w:outlineLvl w:val="1"/>
        <w:rPr>
          <w:rFonts w:ascii="Times New Roman" w:eastAsia="仿宋" w:hAnsi="Times New Roman" w:cs="仿宋" w:hint="eastAsia"/>
          <w:color w:val="000000"/>
          <w:sz w:val="28"/>
          <w:szCs w:val="28"/>
        </w:rPr>
      </w:pPr>
      <w:r>
        <w:rPr>
          <w:rFonts w:ascii="Times New Roman" w:eastAsia="仿宋" w:hAnsi="Times New Roman" w:cs="仿宋" w:hint="eastAsia"/>
          <w:color w:val="000000"/>
          <w:sz w:val="28"/>
          <w:szCs w:val="28"/>
        </w:rPr>
        <w:t>（一）培养目标</w:t>
      </w:r>
    </w:p>
    <w:p w14:paraId="025561FD" w14:textId="77777777" w:rsidR="00A77D3F" w:rsidRDefault="00D3223F" w:rsidP="00A77D3F">
      <w:pPr>
        <w:spacing w:line="560" w:lineRule="exact"/>
        <w:ind w:firstLineChars="200" w:firstLine="560"/>
        <w:jc w:val="left"/>
        <w:textAlignment w:val="baseline"/>
        <w:outlineLvl w:val="1"/>
        <w:rPr>
          <w:rFonts w:ascii="Times New Roman" w:eastAsia="仿宋" w:hAnsi="Times New Roman" w:cs="仿宋" w:hint="eastAsia"/>
          <w:color w:val="000000"/>
          <w:sz w:val="28"/>
          <w:szCs w:val="28"/>
        </w:rPr>
      </w:pPr>
      <w:r>
        <w:rPr>
          <w:rFonts w:ascii="Times New Roman" w:eastAsia="仿宋" w:hAnsi="Times New Roman" w:cs="仿宋" w:hint="eastAsia"/>
          <w:color w:val="000000"/>
          <w:sz w:val="28"/>
          <w:szCs w:val="28"/>
        </w:rPr>
        <w:t xml:space="preserve">1. </w:t>
      </w:r>
      <w:r>
        <w:rPr>
          <w:rFonts w:ascii="Times New Roman" w:eastAsia="仿宋" w:hAnsi="Times New Roman" w:cs="仿宋" w:hint="eastAsia"/>
          <w:color w:val="000000"/>
          <w:sz w:val="28"/>
          <w:szCs w:val="28"/>
        </w:rPr>
        <w:t>博士</w:t>
      </w:r>
    </w:p>
    <w:p w14:paraId="366958F9" w14:textId="77777777" w:rsidR="00A77D3F" w:rsidRDefault="00D3223F" w:rsidP="00A77D3F">
      <w:pPr>
        <w:spacing w:line="560" w:lineRule="exact"/>
        <w:ind w:firstLineChars="200" w:firstLine="560"/>
        <w:jc w:val="left"/>
        <w:textAlignment w:val="baseline"/>
        <w:outlineLvl w:val="1"/>
        <w:rPr>
          <w:rFonts w:ascii="Times New Roman" w:eastAsia="仿宋" w:hAnsi="Times New Roman" w:cs="仿宋" w:hint="eastAsia"/>
          <w:color w:val="000000"/>
          <w:sz w:val="28"/>
          <w:szCs w:val="28"/>
        </w:rPr>
      </w:pPr>
      <w:r>
        <w:rPr>
          <w:rFonts w:ascii="Times New Roman" w:eastAsia="仿宋" w:hAnsi="Times New Roman" w:cs="仿宋" w:hint="eastAsia"/>
          <w:color w:val="000000"/>
          <w:sz w:val="28"/>
          <w:szCs w:val="28"/>
        </w:rPr>
        <w:t>以立德树人为根本，培养德智体美劳全面发展，具备较强的批判性思维和创新性思维，能独立从事科学研究工作，具有国际视野的高层次研究型人才和未来领导者。适应科技进步和经济社会发展的需要，掌握应用经济学学科坚实宽广的基础理论和系统深入的专门知识，深入了解应用经济学学科发展方向及国际学术研究前沿。掌握科学研究的先进方法，具有实事求是、勇于探索和创新的科学精神；能独立从事科学研究、教学和管理工作，在科学或专门技术上做出创造性成果；具有国际视野，能熟练进行国际学术交流；具有良好的合作、组织与领导能力。</w:t>
      </w:r>
    </w:p>
    <w:p w14:paraId="36E06488" w14:textId="77777777" w:rsidR="00A77D3F" w:rsidRDefault="00D3223F" w:rsidP="00A77D3F">
      <w:pPr>
        <w:spacing w:line="560" w:lineRule="exact"/>
        <w:ind w:firstLineChars="200" w:firstLine="560"/>
        <w:jc w:val="left"/>
        <w:textAlignment w:val="baseline"/>
        <w:outlineLvl w:val="1"/>
        <w:rPr>
          <w:rFonts w:ascii="Times New Roman" w:eastAsia="仿宋" w:hAnsi="Times New Roman" w:cs="仿宋" w:hint="eastAsia"/>
          <w:color w:val="000000"/>
          <w:sz w:val="28"/>
          <w:szCs w:val="28"/>
        </w:rPr>
      </w:pPr>
      <w:r>
        <w:rPr>
          <w:rFonts w:ascii="Times New Roman" w:eastAsia="仿宋" w:hAnsi="Times New Roman" w:cs="仿宋" w:hint="eastAsia"/>
          <w:color w:val="000000"/>
          <w:sz w:val="28"/>
          <w:szCs w:val="28"/>
        </w:rPr>
        <w:t>2.</w:t>
      </w:r>
      <w:r>
        <w:rPr>
          <w:rFonts w:ascii="Times New Roman" w:eastAsia="仿宋" w:hAnsi="Times New Roman" w:cs="仿宋" w:hint="eastAsia"/>
          <w:color w:val="000000"/>
          <w:sz w:val="28"/>
          <w:szCs w:val="28"/>
        </w:rPr>
        <w:t>硕士</w:t>
      </w:r>
    </w:p>
    <w:p w14:paraId="1C630282" w14:textId="597D7F49" w:rsidR="003F41F0" w:rsidRDefault="00D3223F" w:rsidP="00A77D3F">
      <w:pPr>
        <w:spacing w:line="560" w:lineRule="exact"/>
        <w:ind w:firstLineChars="200" w:firstLine="560"/>
        <w:jc w:val="left"/>
        <w:textAlignment w:val="baseline"/>
        <w:outlineLvl w:val="1"/>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以立德树人为根本，培养德智体美劳全面发展，具备一定的批判性思维和创新性思维，能从事科学研究工作或独立承担专业技术或管理工作，拥有国际视野，具备进一步深造的学术基础和科研技能的高素质研究型人才。适应科技进步和经济社会发展的需要，掌握本门学科坚实的基础理论和系统的专门知识；熟练地掌握一门外国语；了解本学科发展方向及国际学术研究前沿。掌握科学研究的基本技巧和方法，能较熟练地阅读外文资料，具备开展学术研究、学术交流和及时了解国际学术前沿发展动态的能力。通过系统的科研训练，能从事科学研究工作或独立担负专门技术工作。具有良好的合作、组织与领导能力。</w:t>
      </w:r>
    </w:p>
    <w:p w14:paraId="61365E3B" w14:textId="77777777" w:rsidR="003F41F0" w:rsidRDefault="00D3223F">
      <w:pPr>
        <w:numPr>
          <w:ilvl w:val="0"/>
          <w:numId w:val="1"/>
        </w:numPr>
        <w:spacing w:line="560" w:lineRule="exact"/>
        <w:ind w:firstLineChars="200" w:firstLine="560"/>
        <w:jc w:val="left"/>
        <w:textAlignment w:val="baseline"/>
        <w:outlineLvl w:val="1"/>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学位质量标准</w:t>
      </w:r>
    </w:p>
    <w:p w14:paraId="3AC9A1E6" w14:textId="77777777" w:rsidR="003F41F0" w:rsidRDefault="00D3223F">
      <w:pPr>
        <w:numPr>
          <w:ilvl w:val="255"/>
          <w:numId w:val="0"/>
        </w:num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color w:val="000000"/>
          <w:sz w:val="28"/>
          <w:szCs w:val="28"/>
        </w:rPr>
        <w:t>为保证本学科研究生学位论文质量，学位点对学位论文层层把关，主要措施包括：（</w:t>
      </w:r>
      <w:r>
        <w:rPr>
          <w:rFonts w:ascii="Times New Roman" w:eastAsia="仿宋" w:hAnsi="Times New Roman" w:cs="仿宋"/>
          <w:color w:val="000000"/>
          <w:sz w:val="28"/>
          <w:szCs w:val="28"/>
        </w:rPr>
        <w:t>1</w:t>
      </w:r>
      <w:r>
        <w:rPr>
          <w:rFonts w:ascii="Times New Roman" w:eastAsia="仿宋" w:hAnsi="Times New Roman" w:cs="仿宋"/>
          <w:color w:val="000000"/>
          <w:sz w:val="28"/>
          <w:szCs w:val="28"/>
        </w:rPr>
        <w:t>）对所有博士、硕士学位论文在提交评阅申请前进行学术不端行为检测、全文格式严格审查，对达不到要求者坚决不予送审；对于</w:t>
      </w:r>
      <w:proofErr w:type="gramStart"/>
      <w:r>
        <w:rPr>
          <w:rFonts w:ascii="Times New Roman" w:eastAsia="仿宋" w:hAnsi="Times New Roman" w:cs="仿宋"/>
          <w:color w:val="000000"/>
          <w:sz w:val="28"/>
          <w:szCs w:val="28"/>
        </w:rPr>
        <w:t>正式查重结果</w:t>
      </w:r>
      <w:proofErr w:type="gramEnd"/>
      <w:r>
        <w:rPr>
          <w:rFonts w:ascii="Times New Roman" w:eastAsia="仿宋" w:hAnsi="Times New Roman" w:cs="仿宋"/>
          <w:color w:val="000000"/>
          <w:sz w:val="28"/>
          <w:szCs w:val="28"/>
        </w:rPr>
        <w:t>要求博士学位论文</w:t>
      </w:r>
      <w:r>
        <w:rPr>
          <w:rFonts w:ascii="Times New Roman" w:eastAsia="仿宋" w:hAnsi="Times New Roman" w:cs="仿宋"/>
          <w:color w:val="000000"/>
          <w:sz w:val="28"/>
          <w:szCs w:val="28"/>
        </w:rPr>
        <w:t>≤10%</w:t>
      </w:r>
      <w:r>
        <w:rPr>
          <w:rFonts w:ascii="Times New Roman" w:eastAsia="仿宋" w:hAnsi="Times New Roman" w:cs="仿宋"/>
          <w:color w:val="000000"/>
          <w:sz w:val="28"/>
          <w:szCs w:val="28"/>
        </w:rPr>
        <w:t>，硕士学位论文</w:t>
      </w:r>
      <w:r>
        <w:rPr>
          <w:rFonts w:ascii="Times New Roman" w:eastAsia="仿宋" w:hAnsi="Times New Roman" w:cs="仿宋"/>
          <w:color w:val="000000"/>
          <w:sz w:val="28"/>
          <w:szCs w:val="28"/>
        </w:rPr>
        <w:t>≤20%</w:t>
      </w:r>
      <w:r>
        <w:rPr>
          <w:rFonts w:ascii="Times New Roman" w:eastAsia="仿宋" w:hAnsi="Times New Roman" w:cs="仿宋"/>
          <w:color w:val="000000"/>
          <w:sz w:val="28"/>
          <w:szCs w:val="28"/>
        </w:rPr>
        <w:t>，均比学校研究生院要求的结果要低</w:t>
      </w:r>
      <w:r>
        <w:rPr>
          <w:rFonts w:ascii="Times New Roman" w:eastAsia="仿宋" w:hAnsi="Times New Roman" w:cs="仿宋"/>
          <w:color w:val="000000"/>
          <w:sz w:val="28"/>
          <w:szCs w:val="28"/>
        </w:rPr>
        <w:t>10</w:t>
      </w:r>
      <w:r>
        <w:rPr>
          <w:rFonts w:ascii="Times New Roman" w:eastAsia="仿宋" w:hAnsi="Times New Roman" w:cs="仿宋"/>
          <w:color w:val="000000"/>
          <w:sz w:val="28"/>
          <w:szCs w:val="28"/>
        </w:rPr>
        <w:t>个百分点；（</w:t>
      </w:r>
      <w:r>
        <w:rPr>
          <w:rFonts w:ascii="Times New Roman" w:eastAsia="仿宋" w:hAnsi="Times New Roman" w:cs="仿宋"/>
          <w:color w:val="000000"/>
          <w:sz w:val="28"/>
          <w:szCs w:val="28"/>
        </w:rPr>
        <w:t>2</w:t>
      </w:r>
      <w:r>
        <w:rPr>
          <w:rFonts w:ascii="Times New Roman" w:eastAsia="仿宋" w:hAnsi="Times New Roman" w:cs="仿宋"/>
          <w:color w:val="000000"/>
          <w:sz w:val="28"/>
          <w:szCs w:val="28"/>
        </w:rPr>
        <w:t>）实行预答辩（审查）和双盲评审制度，对于匿名评审未通过的学生，对博士论文</w:t>
      </w:r>
      <w:proofErr w:type="gramStart"/>
      <w:r>
        <w:rPr>
          <w:rFonts w:ascii="Times New Roman" w:eastAsia="仿宋" w:hAnsi="Times New Roman" w:cs="仿宋"/>
          <w:color w:val="000000"/>
          <w:sz w:val="28"/>
          <w:szCs w:val="28"/>
        </w:rPr>
        <w:t>实行盲评一票</w:t>
      </w:r>
      <w:proofErr w:type="gramEnd"/>
      <w:r>
        <w:rPr>
          <w:rFonts w:ascii="Times New Roman" w:eastAsia="仿宋" w:hAnsi="Times New Roman" w:cs="仿宋"/>
          <w:color w:val="000000"/>
          <w:sz w:val="28"/>
          <w:szCs w:val="28"/>
        </w:rPr>
        <w:t>否决制，评阅有</w:t>
      </w:r>
      <w:r>
        <w:rPr>
          <w:rFonts w:ascii="Times New Roman" w:eastAsia="仿宋" w:hAnsi="Times New Roman" w:cs="仿宋"/>
          <w:color w:val="000000"/>
          <w:sz w:val="28"/>
          <w:szCs w:val="28"/>
        </w:rPr>
        <w:t>1</w:t>
      </w:r>
      <w:r>
        <w:rPr>
          <w:rFonts w:ascii="Times New Roman" w:eastAsia="仿宋" w:hAnsi="Times New Roman" w:cs="仿宋"/>
          <w:color w:val="000000"/>
          <w:sz w:val="28"/>
          <w:szCs w:val="28"/>
        </w:rPr>
        <w:t>票不通过，推迟答辩；（</w:t>
      </w:r>
      <w:r>
        <w:rPr>
          <w:rFonts w:ascii="Times New Roman" w:eastAsia="仿宋" w:hAnsi="Times New Roman" w:cs="仿宋"/>
          <w:color w:val="000000"/>
          <w:sz w:val="28"/>
          <w:szCs w:val="28"/>
        </w:rPr>
        <w:t>3</w:t>
      </w:r>
      <w:r>
        <w:rPr>
          <w:rFonts w:ascii="Times New Roman" w:eastAsia="仿宋" w:hAnsi="Times New Roman" w:cs="仿宋"/>
          <w:color w:val="000000"/>
          <w:sz w:val="28"/>
          <w:szCs w:val="28"/>
        </w:rPr>
        <w:t>）对学位论文答辩是否通过，进行</w:t>
      </w:r>
      <w:r>
        <w:rPr>
          <w:rFonts w:ascii="Times New Roman" w:eastAsia="仿宋" w:hAnsi="Times New Roman" w:cs="仿宋" w:hint="eastAsia"/>
          <w:color w:val="000000"/>
          <w:sz w:val="28"/>
          <w:szCs w:val="28"/>
        </w:rPr>
        <w:t>无记</w:t>
      </w:r>
      <w:r>
        <w:rPr>
          <w:rFonts w:ascii="Times New Roman" w:eastAsia="仿宋" w:hAnsi="Times New Roman" w:cs="仿宋"/>
          <w:color w:val="000000"/>
          <w:sz w:val="28"/>
          <w:szCs w:val="28"/>
        </w:rPr>
        <w:t>名投票表决，还需对是否同意毕业进行投票，答辩委员会的整体表决结论是答辩通过方同意毕业。本学位点授予学位</w:t>
      </w:r>
      <w:r>
        <w:rPr>
          <w:rFonts w:ascii="Times New Roman" w:eastAsia="仿宋" w:hAnsi="Times New Roman" w:cs="仿宋"/>
          <w:color w:val="000000"/>
          <w:sz w:val="28"/>
          <w:szCs w:val="28"/>
        </w:rPr>
        <w:t>100%</w:t>
      </w:r>
      <w:r>
        <w:rPr>
          <w:rFonts w:ascii="Times New Roman" w:eastAsia="仿宋" w:hAnsi="Times New Roman" w:cs="仿宋"/>
          <w:color w:val="000000"/>
          <w:sz w:val="28"/>
          <w:szCs w:val="28"/>
        </w:rPr>
        <w:t>通过国家、省的学位论文抽检。</w:t>
      </w:r>
    </w:p>
    <w:p w14:paraId="60635224" w14:textId="77777777" w:rsidR="003F41F0" w:rsidRDefault="00D3223F">
      <w:pPr>
        <w:numPr>
          <w:ilvl w:val="0"/>
          <w:numId w:val="2"/>
        </w:numPr>
        <w:spacing w:line="560" w:lineRule="exact"/>
        <w:ind w:firstLineChars="200" w:firstLine="562"/>
        <w:jc w:val="left"/>
        <w:textAlignment w:val="baseline"/>
        <w:outlineLvl w:val="0"/>
        <w:rPr>
          <w:rFonts w:ascii="Times New Roman" w:eastAsia="楷体_GB2312" w:hAnsi="Times New Roman"/>
          <w:b/>
          <w:kern w:val="44"/>
          <w:sz w:val="28"/>
          <w:szCs w:val="28"/>
        </w:rPr>
      </w:pPr>
      <w:r>
        <w:rPr>
          <w:rFonts w:ascii="Times New Roman" w:eastAsia="楷体_GB2312" w:hAnsi="Times New Roman" w:hint="eastAsia"/>
          <w:b/>
          <w:kern w:val="44"/>
          <w:sz w:val="28"/>
          <w:szCs w:val="28"/>
        </w:rPr>
        <w:t>基本条件</w:t>
      </w:r>
    </w:p>
    <w:p w14:paraId="7BC67F13" w14:textId="77777777" w:rsidR="003F41F0" w:rsidRDefault="00D3223F">
      <w:pPr>
        <w:numPr>
          <w:ilvl w:val="255"/>
          <w:numId w:val="0"/>
        </w:numPr>
        <w:spacing w:line="560" w:lineRule="exact"/>
        <w:ind w:firstLineChars="200" w:firstLine="560"/>
        <w:jc w:val="left"/>
        <w:textAlignment w:val="baseline"/>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（一）培养方向</w:t>
      </w:r>
    </w:p>
    <w:p w14:paraId="7F370A63" w14:textId="77777777" w:rsidR="003F41F0" w:rsidRDefault="00D3223F">
      <w:pPr>
        <w:ind w:firstLineChars="200" w:firstLine="560"/>
        <w:rPr>
          <w:rFonts w:ascii="Times New Roman" w:eastAsia="仿宋" w:hAnsi="Times New Roman" w:cs="仿宋"/>
          <w:color w:val="000000"/>
          <w:sz w:val="28"/>
          <w:szCs w:val="28"/>
        </w:rPr>
      </w:pPr>
      <w:proofErr w:type="gramStart"/>
      <w:r>
        <w:rPr>
          <w:rFonts w:ascii="Times New Roman" w:eastAsia="仿宋" w:hAnsi="Times New Roman" w:cs="仿宋" w:hint="eastAsia"/>
          <w:color w:val="000000"/>
          <w:sz w:val="28"/>
          <w:szCs w:val="28"/>
        </w:rPr>
        <w:t>坚持用习近</w:t>
      </w:r>
      <w:proofErr w:type="gramEnd"/>
      <w:r>
        <w:rPr>
          <w:rFonts w:ascii="Times New Roman" w:eastAsia="仿宋" w:hAnsi="Times New Roman" w:cs="仿宋" w:hint="eastAsia"/>
          <w:color w:val="000000"/>
          <w:sz w:val="28"/>
          <w:szCs w:val="28"/>
        </w:rPr>
        <w:t>平新时代中国特色社会主义思想铸魂育人，持续创新人才培养模式，加快培养国家急需高层次人才、基础研究型人才。聚焦“立德树人”根本任务和人才培养中心任务，确立“志存高远、崇尚学术、渴求知识、至</w:t>
      </w:r>
      <w:proofErr w:type="gramStart"/>
      <w:r>
        <w:rPr>
          <w:rFonts w:ascii="Times New Roman" w:eastAsia="仿宋" w:hAnsi="Times New Roman" w:cs="仿宋" w:hint="eastAsia"/>
          <w:color w:val="000000"/>
          <w:sz w:val="28"/>
          <w:szCs w:val="28"/>
        </w:rPr>
        <w:t>臻</w:t>
      </w:r>
      <w:proofErr w:type="gramEnd"/>
      <w:r>
        <w:rPr>
          <w:rFonts w:ascii="Times New Roman" w:eastAsia="仿宋" w:hAnsi="Times New Roman" w:cs="仿宋" w:hint="eastAsia"/>
          <w:color w:val="000000"/>
          <w:sz w:val="28"/>
          <w:szCs w:val="28"/>
        </w:rPr>
        <w:t>学业、多面发展”人才培养理念；持续优化人才培养模式，创建和实践了培根铸魂，融合贯通：“三平台三课堂”经济学育人模式。</w:t>
      </w:r>
    </w:p>
    <w:p w14:paraId="37DE1FF7" w14:textId="77777777" w:rsidR="003F41F0" w:rsidRDefault="00D3223F">
      <w:pPr>
        <w:spacing w:line="560" w:lineRule="exact"/>
        <w:ind w:firstLineChars="200" w:firstLine="560"/>
        <w:jc w:val="left"/>
        <w:textAlignment w:val="baseline"/>
        <w:outlineLvl w:val="1"/>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（二）师资队伍</w:t>
      </w:r>
    </w:p>
    <w:p w14:paraId="418B021F" w14:textId="77777777" w:rsidR="003F41F0" w:rsidRDefault="00D3223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以学科发展和团队建设为导向，构建分层次和多元化的</w:t>
      </w:r>
      <w:proofErr w:type="gramStart"/>
      <w:r>
        <w:rPr>
          <w:rFonts w:ascii="Times New Roman" w:eastAsia="仿宋" w:hAnsi="Times New Roman" w:cs="仿宋" w:hint="eastAsia"/>
          <w:color w:val="000000"/>
          <w:sz w:val="28"/>
          <w:szCs w:val="28"/>
        </w:rPr>
        <w:t>人才引培体系</w:t>
      </w:r>
      <w:proofErr w:type="gramEnd"/>
      <w:r>
        <w:rPr>
          <w:rFonts w:ascii="Times New Roman" w:eastAsia="仿宋" w:hAnsi="Times New Roman" w:cs="仿宋" w:hint="eastAsia"/>
          <w:color w:val="000000"/>
          <w:sz w:val="28"/>
          <w:szCs w:val="28"/>
        </w:rPr>
        <w:t>。加强师德师风建设，引进培育了高层次人才，完善了创新团队建设机制，加强了青年人才培育工作；进一步延揽海外高层次人才，打造了“人才云集”师资队伍；加大了人才培养力度、激发了师资活力，构建了合理的人才评估机制，破除“五唯”，构建了突出优秀成果和代表作的评价制度；提升了存量教师效益、完善了考评机制，实现了教师分类择岗、分类聘用。</w:t>
      </w:r>
    </w:p>
    <w:p w14:paraId="2C9048DF" w14:textId="77777777" w:rsidR="003F41F0" w:rsidRDefault="00D3223F">
      <w:pPr>
        <w:spacing w:line="560" w:lineRule="exact"/>
        <w:ind w:firstLineChars="200" w:firstLine="560"/>
        <w:jc w:val="left"/>
        <w:textAlignment w:val="baseline"/>
        <w:outlineLvl w:val="1"/>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（三）科学研究</w:t>
      </w:r>
    </w:p>
    <w:p w14:paraId="374C250B" w14:textId="77777777" w:rsidR="003F41F0" w:rsidRDefault="00D3223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凝练方向，服务国家重大战略需求，做厚做实基础研究，推动科研组织和科研机制改革，创新引导“沉潜创新”标志重大成果，提升了学科竞争力。一方面重点发展金融学、产业经济学、劳动经济学、区域经济学等方向，建立高原。另一方面重点发展区域经济、港澳经济研究，打造粤港澳大湾区、乡村振兴高端特色智库，拓展经济学理论研究，服务乡村振兴及粤港澳大湾区、中国特色社会主义先行示范区。</w:t>
      </w:r>
    </w:p>
    <w:p w14:paraId="57CFFD59" w14:textId="77777777" w:rsidR="003F41F0" w:rsidRDefault="00D3223F">
      <w:pPr>
        <w:spacing w:line="560" w:lineRule="exact"/>
        <w:ind w:firstLineChars="200" w:firstLine="560"/>
        <w:jc w:val="left"/>
        <w:textAlignment w:val="baseline"/>
        <w:outlineLvl w:val="1"/>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（四）教学科研支撑</w:t>
      </w:r>
    </w:p>
    <w:p w14:paraId="565C82DA" w14:textId="77777777" w:rsidR="003F41F0" w:rsidRDefault="00D3223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紧紧围绕国家所需、湾区所向，发挥暨大所长，促进了应用研究和科技成果转移转化、深化产学研融合，</w:t>
      </w:r>
      <w:proofErr w:type="gramStart"/>
      <w:r>
        <w:rPr>
          <w:rFonts w:ascii="Times New Roman" w:eastAsia="仿宋" w:hAnsi="Times New Roman" w:cs="仿宋" w:hint="eastAsia"/>
          <w:color w:val="000000"/>
          <w:sz w:val="28"/>
          <w:szCs w:val="28"/>
        </w:rPr>
        <w:t>加强智库建设</w:t>
      </w:r>
      <w:proofErr w:type="gramEnd"/>
      <w:r>
        <w:rPr>
          <w:rFonts w:ascii="Times New Roman" w:eastAsia="仿宋" w:hAnsi="Times New Roman" w:cs="仿宋" w:hint="eastAsia"/>
          <w:color w:val="000000"/>
          <w:sz w:val="28"/>
          <w:szCs w:val="28"/>
        </w:rPr>
        <w:t>。创办</w:t>
      </w:r>
      <w:proofErr w:type="gramStart"/>
      <w:r>
        <w:rPr>
          <w:rFonts w:ascii="Times New Roman" w:eastAsia="仿宋" w:hAnsi="Times New Roman" w:cs="仿宋" w:hint="eastAsia"/>
          <w:color w:val="000000"/>
          <w:sz w:val="28"/>
          <w:szCs w:val="28"/>
        </w:rPr>
        <w:t>首届暨</w:t>
      </w:r>
      <w:proofErr w:type="gramEnd"/>
      <w:r>
        <w:rPr>
          <w:rFonts w:ascii="Times New Roman" w:eastAsia="仿宋" w:hAnsi="Times New Roman" w:cs="仿宋" w:hint="eastAsia"/>
          <w:color w:val="000000"/>
          <w:sz w:val="28"/>
          <w:szCs w:val="28"/>
        </w:rPr>
        <w:t>南国贸高端论坛、首届中观经济学前沿论坛、</w:t>
      </w:r>
      <w:proofErr w:type="gramStart"/>
      <w:r>
        <w:rPr>
          <w:rFonts w:ascii="Times New Roman" w:eastAsia="仿宋" w:hAnsi="Times New Roman" w:cs="仿宋" w:hint="eastAsia"/>
          <w:color w:val="000000"/>
          <w:sz w:val="28"/>
          <w:szCs w:val="28"/>
        </w:rPr>
        <w:t>首届新</w:t>
      </w:r>
      <w:proofErr w:type="gramEnd"/>
      <w:r>
        <w:rPr>
          <w:rFonts w:ascii="Times New Roman" w:eastAsia="仿宋" w:hAnsi="Times New Roman" w:cs="仿宋" w:hint="eastAsia"/>
          <w:color w:val="000000"/>
          <w:sz w:val="28"/>
          <w:szCs w:val="28"/>
        </w:rPr>
        <w:t>结构经济学华南研讨会等，加强国际国内学术交流。加大与“一带一路”沿线国家和港澳台合作，教师与哈佛大学、牛津大学等国际知名高校开展了国际科研合作，邀请英国伯明翰大学学生来校深度融合学习，提升了学科的国际化水平。</w:t>
      </w:r>
    </w:p>
    <w:p w14:paraId="2BD8C0F6" w14:textId="77777777" w:rsidR="003F41F0" w:rsidRDefault="00D3223F">
      <w:pPr>
        <w:numPr>
          <w:ilvl w:val="0"/>
          <w:numId w:val="2"/>
        </w:numPr>
        <w:spacing w:line="560" w:lineRule="exact"/>
        <w:ind w:firstLineChars="200" w:firstLine="562"/>
        <w:jc w:val="left"/>
        <w:textAlignment w:val="baseline"/>
        <w:outlineLvl w:val="0"/>
        <w:rPr>
          <w:rFonts w:ascii="Times New Roman" w:eastAsia="楷体_GB2312" w:hAnsi="Times New Roman"/>
          <w:b/>
          <w:kern w:val="44"/>
          <w:sz w:val="28"/>
          <w:szCs w:val="28"/>
        </w:rPr>
      </w:pPr>
      <w:r>
        <w:rPr>
          <w:rFonts w:ascii="Times New Roman" w:eastAsia="楷体_GB2312" w:hAnsi="Times New Roman" w:hint="eastAsia"/>
          <w:b/>
          <w:kern w:val="44"/>
          <w:sz w:val="28"/>
          <w:szCs w:val="28"/>
        </w:rPr>
        <w:t>人才培养</w:t>
      </w:r>
    </w:p>
    <w:p w14:paraId="444CD246" w14:textId="77777777" w:rsidR="003F41F0" w:rsidRDefault="00D3223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（一）党建</w:t>
      </w:r>
      <w:proofErr w:type="gramStart"/>
      <w:r>
        <w:rPr>
          <w:rFonts w:ascii="Times New Roman" w:eastAsia="仿宋" w:hAnsi="Times New Roman" w:cs="仿宋" w:hint="eastAsia"/>
          <w:color w:val="000000"/>
          <w:sz w:val="28"/>
          <w:szCs w:val="28"/>
        </w:rPr>
        <w:t>与思政教育</w:t>
      </w:r>
      <w:proofErr w:type="gramEnd"/>
      <w:r>
        <w:rPr>
          <w:rFonts w:ascii="Times New Roman" w:eastAsia="仿宋" w:hAnsi="Times New Roman" w:cs="仿宋" w:hint="eastAsia"/>
          <w:color w:val="000000"/>
          <w:sz w:val="28"/>
          <w:szCs w:val="28"/>
        </w:rPr>
        <w:t>。在习近平总书记两次视察广东，推进粤港澳大湾区建设的背景下，本学位点深入贯彻落</w:t>
      </w:r>
      <w:proofErr w:type="gramStart"/>
      <w:r>
        <w:rPr>
          <w:rFonts w:ascii="Times New Roman" w:eastAsia="仿宋" w:hAnsi="Times New Roman" w:cs="仿宋" w:hint="eastAsia"/>
          <w:color w:val="000000"/>
          <w:sz w:val="28"/>
          <w:szCs w:val="28"/>
        </w:rPr>
        <w:t>实习近</w:t>
      </w:r>
      <w:proofErr w:type="gramEnd"/>
      <w:r>
        <w:rPr>
          <w:rFonts w:ascii="Times New Roman" w:eastAsia="仿宋" w:hAnsi="Times New Roman" w:cs="仿宋" w:hint="eastAsia"/>
          <w:color w:val="000000"/>
          <w:sz w:val="28"/>
          <w:szCs w:val="28"/>
        </w:rPr>
        <w:t>平总书记视察暨南大学所作重要讲话精神，全面落实教育部“三全育人”改革部署，以立德树人、培根铸魂为根本任务，</w:t>
      </w:r>
      <w:proofErr w:type="gramStart"/>
      <w:r>
        <w:rPr>
          <w:rFonts w:ascii="Times New Roman" w:eastAsia="仿宋" w:hAnsi="Times New Roman" w:cs="仿宋" w:hint="eastAsia"/>
          <w:color w:val="000000"/>
          <w:sz w:val="28"/>
          <w:szCs w:val="28"/>
        </w:rPr>
        <w:t>践行</w:t>
      </w:r>
      <w:proofErr w:type="gramEnd"/>
      <w:r>
        <w:rPr>
          <w:rFonts w:ascii="Times New Roman" w:eastAsia="仿宋" w:hAnsi="Times New Roman" w:cs="仿宋" w:hint="eastAsia"/>
          <w:color w:val="000000"/>
          <w:sz w:val="28"/>
          <w:szCs w:val="28"/>
        </w:rPr>
        <w:t>为党育人、为国育才的育人使命。“三全育人”综合改革探索日见成效，侨校模式、“五育”并举的“大思政”育人格局和长效机制已然形成。</w:t>
      </w:r>
    </w:p>
    <w:p w14:paraId="749D0C65" w14:textId="77777777" w:rsidR="003F41F0" w:rsidRDefault="00D3223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育人有保障，党委全面领导作用突出：</w:t>
      </w:r>
      <w:proofErr w:type="gramStart"/>
      <w:r>
        <w:rPr>
          <w:rFonts w:ascii="Times New Roman" w:eastAsia="仿宋" w:hAnsi="Times New Roman" w:cs="仿宋" w:hint="eastAsia"/>
          <w:color w:val="000000"/>
          <w:sz w:val="28"/>
          <w:szCs w:val="28"/>
        </w:rPr>
        <w:t>学科党建</w:t>
      </w:r>
      <w:proofErr w:type="gramEnd"/>
      <w:r>
        <w:rPr>
          <w:rFonts w:ascii="Times New Roman" w:eastAsia="仿宋" w:hAnsi="Times New Roman" w:cs="仿宋" w:hint="eastAsia"/>
          <w:color w:val="000000"/>
          <w:sz w:val="28"/>
          <w:szCs w:val="28"/>
        </w:rPr>
        <w:t>工作扎实有力，品牌效应突出，学院党委获批“广东省党建工作标杆院系”培育创建单位、党建工作</w:t>
      </w:r>
      <w:proofErr w:type="gramStart"/>
      <w:r>
        <w:rPr>
          <w:rFonts w:ascii="Times New Roman" w:eastAsia="仿宋" w:hAnsi="Times New Roman" w:cs="仿宋" w:hint="eastAsia"/>
          <w:color w:val="000000"/>
          <w:sz w:val="28"/>
          <w:szCs w:val="28"/>
        </w:rPr>
        <w:t>案例获</w:t>
      </w:r>
      <w:proofErr w:type="gramEnd"/>
      <w:r>
        <w:rPr>
          <w:rFonts w:ascii="Times New Roman" w:eastAsia="仿宋" w:hAnsi="Times New Roman" w:cs="仿宋" w:hint="eastAsia"/>
          <w:color w:val="000000"/>
          <w:sz w:val="28"/>
          <w:szCs w:val="28"/>
        </w:rPr>
        <w:t>教育部全国高校“两学一做”学生党支部精品工作案例、广东省高校基层党建工作创新案例二等奖等。</w:t>
      </w:r>
    </w:p>
    <w:p w14:paraId="479ECAA3" w14:textId="77777777" w:rsidR="003F41F0" w:rsidRDefault="00D3223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育人有思路，学科特色思政体系建立：</w:t>
      </w:r>
      <w:proofErr w:type="gramStart"/>
      <w:r>
        <w:rPr>
          <w:rFonts w:ascii="Times New Roman" w:eastAsia="仿宋" w:hAnsi="Times New Roman" w:cs="仿宋" w:hint="eastAsia"/>
          <w:color w:val="000000"/>
          <w:sz w:val="28"/>
          <w:szCs w:val="28"/>
        </w:rPr>
        <w:t>思政育人</w:t>
      </w:r>
      <w:proofErr w:type="gramEnd"/>
      <w:r>
        <w:rPr>
          <w:rFonts w:ascii="Times New Roman" w:eastAsia="仿宋" w:hAnsi="Times New Roman" w:cs="仿宋" w:hint="eastAsia"/>
          <w:color w:val="000000"/>
          <w:sz w:val="28"/>
          <w:szCs w:val="28"/>
        </w:rPr>
        <w:t>品牌特色鲜明、亮点突出，多次被作为典型案例和先进做法进行推广。其中，“千村调查”项目累计招募三百余名学子组队前往</w:t>
      </w:r>
      <w:r>
        <w:rPr>
          <w:rFonts w:ascii="Times New Roman" w:eastAsia="仿宋" w:hAnsi="Times New Roman" w:cs="仿宋" w:hint="eastAsia"/>
          <w:color w:val="000000"/>
          <w:sz w:val="28"/>
          <w:szCs w:val="28"/>
        </w:rPr>
        <w:t>3000</w:t>
      </w:r>
      <w:r>
        <w:rPr>
          <w:rFonts w:ascii="Times New Roman" w:eastAsia="仿宋" w:hAnsi="Times New Roman" w:cs="仿宋" w:hint="eastAsia"/>
          <w:color w:val="000000"/>
          <w:sz w:val="28"/>
          <w:szCs w:val="28"/>
        </w:rPr>
        <w:t>余户农村家庭，走进田间地头，了解社会民生，获广东卫视专题报道。优秀港澳台侨学生“学业精进，砥砺前行”培养项目辐射</w:t>
      </w:r>
      <w:r>
        <w:rPr>
          <w:rFonts w:ascii="Times New Roman" w:eastAsia="仿宋" w:hAnsi="Times New Roman" w:cs="仿宋" w:hint="eastAsia"/>
          <w:color w:val="000000"/>
          <w:sz w:val="28"/>
          <w:szCs w:val="28"/>
        </w:rPr>
        <w:t>3000</w:t>
      </w:r>
      <w:r>
        <w:rPr>
          <w:rFonts w:ascii="Times New Roman" w:eastAsia="仿宋" w:hAnsi="Times New Roman" w:cs="仿宋" w:hint="eastAsia"/>
          <w:color w:val="000000"/>
          <w:sz w:val="28"/>
          <w:szCs w:val="28"/>
        </w:rPr>
        <w:t>余港澳台侨学生。学院获评“全国五四红旗团支部”“广东省高校学生工作优秀团队”、广东省“五四红旗团委”等多个国家级、省级奖项。</w:t>
      </w:r>
    </w:p>
    <w:p w14:paraId="217246DA" w14:textId="77777777" w:rsidR="003F41F0" w:rsidRDefault="00D3223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育人有成效，学生全面发展素质提升：五年间累计</w:t>
      </w:r>
      <w:r>
        <w:rPr>
          <w:rFonts w:ascii="Times New Roman" w:eastAsia="仿宋" w:hAnsi="Times New Roman" w:cs="仿宋" w:hint="eastAsia"/>
          <w:color w:val="000000"/>
          <w:sz w:val="28"/>
          <w:szCs w:val="28"/>
        </w:rPr>
        <w:t>200</w:t>
      </w:r>
      <w:r>
        <w:rPr>
          <w:rFonts w:ascii="Times New Roman" w:eastAsia="仿宋" w:hAnsi="Times New Roman" w:cs="仿宋" w:hint="eastAsia"/>
          <w:color w:val="000000"/>
          <w:sz w:val="28"/>
          <w:szCs w:val="28"/>
        </w:rPr>
        <w:t>余人次获省部级以上表彰奖励，学生社会实践和创新创业成果丰硕。发表学术论文</w:t>
      </w:r>
      <w:r>
        <w:rPr>
          <w:rFonts w:ascii="Times New Roman" w:eastAsia="仿宋" w:hAnsi="Times New Roman" w:cs="仿宋" w:hint="eastAsia"/>
          <w:color w:val="000000"/>
          <w:sz w:val="28"/>
          <w:szCs w:val="28"/>
        </w:rPr>
        <w:t>500</w:t>
      </w:r>
      <w:r>
        <w:rPr>
          <w:rFonts w:ascii="Times New Roman" w:eastAsia="仿宋" w:hAnsi="Times New Roman" w:cs="仿宋" w:hint="eastAsia"/>
          <w:color w:val="000000"/>
          <w:sz w:val="28"/>
          <w:szCs w:val="28"/>
        </w:rPr>
        <w:t>余篇，学生中</w:t>
      </w:r>
      <w:r>
        <w:rPr>
          <w:rFonts w:ascii="Times New Roman" w:eastAsia="仿宋" w:hAnsi="Times New Roman" w:cs="仿宋" w:hint="eastAsia"/>
          <w:color w:val="000000"/>
          <w:sz w:val="28"/>
          <w:szCs w:val="28"/>
        </w:rPr>
        <w:t>3</w:t>
      </w:r>
      <w:r>
        <w:rPr>
          <w:rFonts w:ascii="Times New Roman" w:eastAsia="仿宋" w:hAnsi="Times New Roman" w:cs="仿宋" w:hint="eastAsia"/>
          <w:color w:val="000000"/>
          <w:sz w:val="28"/>
          <w:szCs w:val="28"/>
        </w:rPr>
        <w:t>人次获“中国大学生年度人物”提名奖，学生调查报告入选“全国百篇优秀调研报告”；</w:t>
      </w:r>
      <w:r>
        <w:rPr>
          <w:rFonts w:ascii="Times New Roman" w:eastAsia="仿宋" w:hAnsi="Times New Roman" w:cs="仿宋" w:hint="eastAsia"/>
          <w:color w:val="000000"/>
          <w:sz w:val="28"/>
          <w:szCs w:val="28"/>
        </w:rPr>
        <w:t>23</w:t>
      </w:r>
      <w:r>
        <w:rPr>
          <w:rFonts w:ascii="Times New Roman" w:eastAsia="仿宋" w:hAnsi="Times New Roman" w:cs="仿宋" w:hint="eastAsia"/>
          <w:color w:val="000000"/>
          <w:sz w:val="28"/>
          <w:szCs w:val="28"/>
        </w:rPr>
        <w:t>名毕业生选择到西部地区就业，</w:t>
      </w:r>
      <w:r>
        <w:rPr>
          <w:rFonts w:ascii="Times New Roman" w:eastAsia="仿宋" w:hAnsi="Times New Roman" w:cs="仿宋" w:hint="eastAsia"/>
          <w:color w:val="000000"/>
          <w:sz w:val="28"/>
          <w:szCs w:val="28"/>
        </w:rPr>
        <w:t xml:space="preserve">3 </w:t>
      </w:r>
      <w:r>
        <w:rPr>
          <w:rFonts w:ascii="Times New Roman" w:eastAsia="仿宋" w:hAnsi="Times New Roman" w:cs="仿宋" w:hint="eastAsia"/>
          <w:color w:val="000000"/>
          <w:sz w:val="28"/>
          <w:szCs w:val="28"/>
        </w:rPr>
        <w:t>名少数民族骨干计划毕业生回到生源地基层工作，</w:t>
      </w:r>
      <w:r>
        <w:rPr>
          <w:rFonts w:ascii="Times New Roman" w:eastAsia="仿宋" w:hAnsi="Times New Roman" w:cs="仿宋" w:hint="eastAsia"/>
          <w:color w:val="000000"/>
          <w:sz w:val="28"/>
          <w:szCs w:val="28"/>
        </w:rPr>
        <w:t>2</w:t>
      </w:r>
      <w:r>
        <w:rPr>
          <w:rFonts w:ascii="Times New Roman" w:eastAsia="仿宋" w:hAnsi="Times New Roman" w:cs="仿宋" w:hint="eastAsia"/>
          <w:color w:val="000000"/>
          <w:sz w:val="28"/>
          <w:szCs w:val="28"/>
        </w:rPr>
        <w:t>名毕业生申请西部计划。近</w:t>
      </w:r>
      <w:r>
        <w:rPr>
          <w:rFonts w:ascii="Times New Roman" w:eastAsia="仿宋" w:hAnsi="Times New Roman" w:cs="仿宋" w:hint="eastAsia"/>
          <w:color w:val="000000"/>
          <w:sz w:val="28"/>
          <w:szCs w:val="28"/>
        </w:rPr>
        <w:t>5</w:t>
      </w:r>
      <w:r>
        <w:rPr>
          <w:rFonts w:ascii="Times New Roman" w:eastAsia="仿宋" w:hAnsi="Times New Roman" w:cs="仿宋" w:hint="eastAsia"/>
          <w:color w:val="000000"/>
          <w:sz w:val="28"/>
          <w:szCs w:val="28"/>
        </w:rPr>
        <w:t>年累计为港澳台地区培养输送</w:t>
      </w:r>
      <w:r>
        <w:rPr>
          <w:rFonts w:ascii="Times New Roman" w:eastAsia="仿宋" w:hAnsi="Times New Roman" w:cs="仿宋" w:hint="eastAsia"/>
          <w:color w:val="000000"/>
          <w:sz w:val="28"/>
          <w:szCs w:val="28"/>
        </w:rPr>
        <w:t>200</w:t>
      </w:r>
      <w:r>
        <w:rPr>
          <w:rFonts w:ascii="Times New Roman" w:eastAsia="仿宋" w:hAnsi="Times New Roman" w:cs="仿宋" w:hint="eastAsia"/>
          <w:color w:val="000000"/>
          <w:sz w:val="28"/>
          <w:szCs w:val="28"/>
        </w:rPr>
        <w:t>余名优秀经济学人才，成为“一国两制”繁荣稳定的建设者、参与者。</w:t>
      </w:r>
    </w:p>
    <w:p w14:paraId="475B7ABC" w14:textId="77777777" w:rsidR="003F41F0" w:rsidRDefault="00D3223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二）加强课程建设。扩充博士研究生学位课程《高级微观经济学》《高级宏观经济学》《高级计量经济学》课时和内容，培养学生更扎实的理论基础。以一流师资团队组建高质量课程组。打造资深教授与优秀青年教师有机组合的三高课程组，形成一支有卓越科研能力、有丰富教学经验的教学团队。学位课程实施统一教学大纲、统一教案、统一命题和考试，对全部学生实行高标准的教学培养。加大对课程建设与教学改革的激励与支持，提高研究生课程建设和教学工作在绩效工资分配中的比重，加大对研究生课程的建设资助，打造研究生“金课”。</w:t>
      </w:r>
    </w:p>
    <w:p w14:paraId="18E4CE85" w14:textId="77777777" w:rsidR="003F41F0" w:rsidRDefault="00D3223F">
      <w:pPr>
        <w:numPr>
          <w:ilvl w:val="0"/>
          <w:numId w:val="1"/>
        </w:num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强化导师选拔培训。严格对导师队伍进行选聘、培训、考核。强化研究生导师基本素质要求，制定了导师选聘的基本条件与要求。健全研究生导师评价激励机制，实施导师招生岗位审核监督和岗位动态调整与退出机制，加强导师岗前培训制度和合作导师制，加强对新导师的指导和培训，以保证研究生培训质量。</w:t>
      </w:r>
    </w:p>
    <w:p w14:paraId="3DEF4221" w14:textId="77777777" w:rsidR="003F41F0" w:rsidRDefault="00D3223F">
      <w:pPr>
        <w:numPr>
          <w:ilvl w:val="0"/>
          <w:numId w:val="1"/>
        </w:num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加强学术研究和训练。进一步完善“三高”课程体系和博士生资格考试方案，选聘博士生</w:t>
      </w:r>
      <w:proofErr w:type="gramStart"/>
      <w:r>
        <w:rPr>
          <w:rFonts w:ascii="Times New Roman" w:eastAsia="仿宋" w:hAnsi="Times New Roman" w:cs="仿宋" w:hint="eastAsia"/>
          <w:color w:val="000000"/>
          <w:sz w:val="28"/>
          <w:szCs w:val="28"/>
        </w:rPr>
        <w:t>副指导</w:t>
      </w:r>
      <w:proofErr w:type="gramEnd"/>
      <w:r>
        <w:rPr>
          <w:rFonts w:ascii="Times New Roman" w:eastAsia="仿宋" w:hAnsi="Times New Roman" w:cs="仿宋" w:hint="eastAsia"/>
          <w:color w:val="000000"/>
          <w:sz w:val="28"/>
          <w:szCs w:val="28"/>
        </w:rPr>
        <w:t>教师。实施经济学科博士研究生沙龙制度和学术对外交流制度。开展日常</w:t>
      </w:r>
      <w:r>
        <w:rPr>
          <w:rFonts w:ascii="Times New Roman" w:eastAsia="仿宋" w:hAnsi="Times New Roman" w:cs="仿宋" w:hint="eastAsia"/>
          <w:color w:val="000000"/>
          <w:sz w:val="28"/>
          <w:szCs w:val="28"/>
        </w:rPr>
        <w:t>workshop</w:t>
      </w:r>
      <w:r>
        <w:rPr>
          <w:rFonts w:ascii="Times New Roman" w:eastAsia="仿宋" w:hAnsi="Times New Roman" w:cs="仿宋" w:hint="eastAsia"/>
          <w:color w:val="000000"/>
          <w:sz w:val="28"/>
          <w:szCs w:val="28"/>
        </w:rPr>
        <w:t>研讨会；依托雄厚的教师资源共同开展研究生创新学术分论坛、博士研究生每</w:t>
      </w:r>
      <w:proofErr w:type="gramStart"/>
      <w:r>
        <w:rPr>
          <w:rFonts w:ascii="Times New Roman" w:eastAsia="仿宋" w:hAnsi="Times New Roman" w:cs="仿宋" w:hint="eastAsia"/>
          <w:color w:val="000000"/>
          <w:sz w:val="28"/>
          <w:szCs w:val="28"/>
        </w:rPr>
        <w:t>周学术</w:t>
      </w:r>
      <w:proofErr w:type="gramEnd"/>
      <w:r>
        <w:rPr>
          <w:rFonts w:ascii="Times New Roman" w:eastAsia="仿宋" w:hAnsi="Times New Roman" w:cs="仿宋" w:hint="eastAsia"/>
          <w:color w:val="000000"/>
          <w:sz w:val="28"/>
          <w:szCs w:val="28"/>
        </w:rPr>
        <w:t>沙龙等；依托社会调查中心大型调查项目开展实地调查与实验研究。</w:t>
      </w:r>
    </w:p>
    <w:p w14:paraId="49806411" w14:textId="77777777" w:rsidR="003F41F0" w:rsidRDefault="00D3223F">
      <w:pPr>
        <w:numPr>
          <w:ilvl w:val="0"/>
          <w:numId w:val="1"/>
        </w:num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注重开拓学生的国际视野。借助高水平大学及学科平台建设经费，鼓励与资助师生参加国际、国内学术交流论坛及会议。与美国耶鲁大学、俄亥俄州立大学、新加坡国立大学等国外知名高校保持较经常的学术往来。通过“暨南大学讲座教授”方式聘请香港中文大学、新加坡国立大学等经济学者与学位点青年教师、博士生开展科研合作。</w:t>
      </w:r>
    </w:p>
    <w:p w14:paraId="5C68FCBB" w14:textId="77777777" w:rsidR="003F41F0" w:rsidRDefault="00D3223F">
      <w:pPr>
        <w:numPr>
          <w:ilvl w:val="0"/>
          <w:numId w:val="2"/>
        </w:numPr>
        <w:spacing w:line="560" w:lineRule="exact"/>
        <w:ind w:firstLineChars="200" w:firstLine="562"/>
        <w:jc w:val="left"/>
        <w:textAlignment w:val="baseline"/>
        <w:outlineLvl w:val="0"/>
        <w:rPr>
          <w:rFonts w:ascii="Times New Roman" w:eastAsia="楷体_GB2312" w:hAnsi="Times New Roman"/>
          <w:b/>
          <w:kern w:val="44"/>
          <w:sz w:val="28"/>
          <w:szCs w:val="28"/>
        </w:rPr>
      </w:pPr>
      <w:r>
        <w:rPr>
          <w:rFonts w:ascii="Times New Roman" w:eastAsia="楷体_GB2312" w:hAnsi="Times New Roman" w:hint="eastAsia"/>
          <w:b/>
          <w:kern w:val="44"/>
          <w:sz w:val="28"/>
          <w:szCs w:val="28"/>
        </w:rPr>
        <w:t>服务贡献</w:t>
      </w:r>
    </w:p>
    <w:p w14:paraId="6AA2AFF8" w14:textId="77777777" w:rsidR="003F41F0" w:rsidRDefault="00D3223F">
      <w:pPr>
        <w:numPr>
          <w:ilvl w:val="0"/>
          <w:numId w:val="3"/>
        </w:num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教学与科研突破：①实现了国家级教学奖零的突破，获得国家级教学成果二等奖；②荣获国际商务教学优秀案例</w:t>
      </w:r>
      <w:r>
        <w:rPr>
          <w:rFonts w:ascii="Times New Roman" w:eastAsia="仿宋" w:hAnsi="Times New Roman" w:cs="仿宋" w:hint="eastAsia"/>
          <w:color w:val="000000"/>
          <w:sz w:val="28"/>
          <w:szCs w:val="28"/>
        </w:rPr>
        <w:t>1</w:t>
      </w:r>
      <w:r>
        <w:rPr>
          <w:rFonts w:ascii="Times New Roman" w:eastAsia="仿宋" w:hAnsi="Times New Roman" w:cs="仿宋" w:hint="eastAsia"/>
          <w:color w:val="000000"/>
          <w:sz w:val="28"/>
          <w:szCs w:val="28"/>
        </w:rPr>
        <w:t>项，荣获中国金融优秀学位论文</w:t>
      </w:r>
      <w:r>
        <w:rPr>
          <w:rFonts w:ascii="Times New Roman" w:eastAsia="仿宋" w:hAnsi="Times New Roman" w:cs="仿宋" w:hint="eastAsia"/>
          <w:color w:val="000000"/>
          <w:sz w:val="28"/>
          <w:szCs w:val="28"/>
        </w:rPr>
        <w:t>3</w:t>
      </w:r>
      <w:r>
        <w:rPr>
          <w:rFonts w:ascii="Times New Roman" w:eastAsia="仿宋" w:hAnsi="Times New Roman" w:cs="仿宋" w:hint="eastAsia"/>
          <w:color w:val="000000"/>
          <w:sz w:val="28"/>
          <w:szCs w:val="28"/>
        </w:rPr>
        <w:t>篇；③继续推进中国建设银行广东省分行合作建立“暨大</w:t>
      </w:r>
      <w:r>
        <w:rPr>
          <w:rFonts w:ascii="Times New Roman" w:eastAsia="仿宋" w:hAnsi="Times New Roman" w:cs="仿宋" w:hint="eastAsia"/>
          <w:color w:val="000000"/>
          <w:sz w:val="28"/>
          <w:szCs w:val="28"/>
        </w:rPr>
        <w:t>-</w:t>
      </w:r>
      <w:r>
        <w:rPr>
          <w:rFonts w:ascii="Times New Roman" w:eastAsia="仿宋" w:hAnsi="Times New Roman" w:cs="仿宋" w:hint="eastAsia"/>
          <w:color w:val="000000"/>
          <w:sz w:val="28"/>
          <w:szCs w:val="28"/>
        </w:rPr>
        <w:t>建行大湾区跨境金融实验班”订单</w:t>
      </w:r>
      <w:proofErr w:type="gramStart"/>
      <w:r>
        <w:rPr>
          <w:rFonts w:ascii="Times New Roman" w:eastAsia="仿宋" w:hAnsi="Times New Roman" w:cs="仿宋" w:hint="eastAsia"/>
          <w:color w:val="000000"/>
          <w:sz w:val="28"/>
          <w:szCs w:val="28"/>
        </w:rPr>
        <w:t>式人才</w:t>
      </w:r>
      <w:proofErr w:type="gramEnd"/>
      <w:r>
        <w:rPr>
          <w:rFonts w:ascii="Times New Roman" w:eastAsia="仿宋" w:hAnsi="Times New Roman" w:cs="仿宋" w:hint="eastAsia"/>
          <w:color w:val="000000"/>
          <w:sz w:val="28"/>
          <w:szCs w:val="28"/>
        </w:rPr>
        <w:t>培养项目。④师生在《经济研究》等</w:t>
      </w:r>
      <w:r>
        <w:rPr>
          <w:rFonts w:ascii="Times New Roman" w:eastAsia="仿宋" w:hAnsi="Times New Roman" w:cs="仿宋" w:hint="eastAsia"/>
          <w:color w:val="000000"/>
          <w:sz w:val="28"/>
          <w:szCs w:val="28"/>
        </w:rPr>
        <w:t>A</w:t>
      </w:r>
      <w:r>
        <w:rPr>
          <w:rFonts w:ascii="Times New Roman" w:eastAsia="仿宋" w:hAnsi="Times New Roman" w:cs="仿宋" w:hint="eastAsia"/>
          <w:color w:val="000000"/>
          <w:sz w:val="28"/>
          <w:szCs w:val="28"/>
        </w:rPr>
        <w:t>类期刊论文发表论文</w:t>
      </w:r>
      <w:r>
        <w:rPr>
          <w:rFonts w:ascii="Times New Roman" w:eastAsia="仿宋" w:hAnsi="Times New Roman" w:cs="仿宋" w:hint="eastAsia"/>
          <w:color w:val="000000"/>
          <w:sz w:val="28"/>
          <w:szCs w:val="28"/>
        </w:rPr>
        <w:t>60</w:t>
      </w:r>
      <w:r>
        <w:rPr>
          <w:rFonts w:ascii="Times New Roman" w:eastAsia="仿宋" w:hAnsi="Times New Roman" w:cs="仿宋" w:hint="eastAsia"/>
          <w:color w:val="000000"/>
          <w:sz w:val="28"/>
          <w:szCs w:val="28"/>
        </w:rPr>
        <w:t>余篇；⑤与深圳数据交易所等企业共建研究生联合培养基地，与广发证券等共同推进中观经济学研究中心建设等合作共建产教融合协同育人基地。</w:t>
      </w:r>
    </w:p>
    <w:p w14:paraId="6BF23897" w14:textId="77777777" w:rsidR="003F41F0" w:rsidRDefault="00D3223F">
      <w:pPr>
        <w:numPr>
          <w:ilvl w:val="0"/>
          <w:numId w:val="3"/>
        </w:num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科研项目与成果丰硕：①</w:t>
      </w:r>
      <w:r>
        <w:rPr>
          <w:rFonts w:ascii="Times New Roman" w:eastAsia="仿宋" w:hAnsi="Times New Roman" w:cs="仿宋" w:hint="eastAsia"/>
          <w:color w:val="000000"/>
          <w:sz w:val="28"/>
          <w:szCs w:val="28"/>
        </w:rPr>
        <w:t>2024</w:t>
      </w:r>
      <w:r>
        <w:rPr>
          <w:rFonts w:ascii="Times New Roman" w:eastAsia="仿宋" w:hAnsi="Times New Roman" w:cs="仿宋" w:hint="eastAsia"/>
          <w:color w:val="000000"/>
          <w:sz w:val="28"/>
          <w:szCs w:val="28"/>
        </w:rPr>
        <w:t>年，新增国家项目</w:t>
      </w:r>
      <w:r>
        <w:rPr>
          <w:rFonts w:ascii="Times New Roman" w:eastAsia="仿宋" w:hAnsi="Times New Roman" w:cs="仿宋" w:hint="eastAsia"/>
          <w:color w:val="000000"/>
          <w:sz w:val="28"/>
          <w:szCs w:val="28"/>
        </w:rPr>
        <w:t>12</w:t>
      </w:r>
      <w:r>
        <w:rPr>
          <w:rFonts w:ascii="Times New Roman" w:eastAsia="仿宋" w:hAnsi="Times New Roman" w:cs="仿宋" w:hint="eastAsia"/>
          <w:color w:val="000000"/>
          <w:sz w:val="28"/>
          <w:szCs w:val="28"/>
        </w:rPr>
        <w:t>项，其中国家自然科学基金</w:t>
      </w:r>
      <w:r>
        <w:rPr>
          <w:rFonts w:ascii="Times New Roman" w:eastAsia="仿宋" w:hAnsi="Times New Roman" w:cs="仿宋" w:hint="eastAsia"/>
          <w:color w:val="000000"/>
          <w:sz w:val="28"/>
          <w:szCs w:val="28"/>
        </w:rPr>
        <w:t>10</w:t>
      </w:r>
      <w:r>
        <w:rPr>
          <w:rFonts w:ascii="Times New Roman" w:eastAsia="仿宋" w:hAnsi="Times New Roman" w:cs="仿宋" w:hint="eastAsia"/>
          <w:color w:val="000000"/>
          <w:sz w:val="28"/>
          <w:szCs w:val="28"/>
        </w:rPr>
        <w:t>项、国家社科基金</w:t>
      </w:r>
      <w:r>
        <w:rPr>
          <w:rFonts w:ascii="Times New Roman" w:eastAsia="仿宋" w:hAnsi="Times New Roman" w:cs="仿宋" w:hint="eastAsia"/>
          <w:color w:val="000000"/>
          <w:sz w:val="28"/>
          <w:szCs w:val="28"/>
        </w:rPr>
        <w:t>2</w:t>
      </w:r>
      <w:r>
        <w:rPr>
          <w:rFonts w:ascii="Times New Roman" w:eastAsia="仿宋" w:hAnsi="Times New Roman" w:cs="仿宋" w:hint="eastAsia"/>
          <w:color w:val="000000"/>
          <w:sz w:val="28"/>
          <w:szCs w:val="28"/>
        </w:rPr>
        <w:t>项。②</w:t>
      </w:r>
      <w:r>
        <w:rPr>
          <w:rFonts w:ascii="Times New Roman" w:eastAsia="仿宋" w:hAnsi="Times New Roman" w:cs="仿宋" w:hint="eastAsia"/>
          <w:color w:val="000000"/>
          <w:sz w:val="28"/>
          <w:szCs w:val="28"/>
        </w:rPr>
        <w:t>2024</w:t>
      </w:r>
      <w:r>
        <w:rPr>
          <w:rFonts w:ascii="Times New Roman" w:eastAsia="仿宋" w:hAnsi="Times New Roman" w:cs="仿宋" w:hint="eastAsia"/>
          <w:color w:val="000000"/>
          <w:sz w:val="28"/>
          <w:szCs w:val="28"/>
        </w:rPr>
        <w:t>年，师生在暨南大学</w:t>
      </w:r>
      <w:r>
        <w:rPr>
          <w:rFonts w:ascii="Times New Roman" w:eastAsia="仿宋" w:hAnsi="Times New Roman" w:cs="仿宋" w:hint="eastAsia"/>
          <w:color w:val="000000"/>
          <w:sz w:val="28"/>
          <w:szCs w:val="28"/>
        </w:rPr>
        <w:t>A</w:t>
      </w:r>
      <w:r>
        <w:rPr>
          <w:rFonts w:ascii="Times New Roman" w:eastAsia="仿宋" w:hAnsi="Times New Roman" w:cs="仿宋" w:hint="eastAsia"/>
          <w:color w:val="000000"/>
          <w:sz w:val="28"/>
          <w:szCs w:val="28"/>
        </w:rPr>
        <w:t>类期刊发表论文</w:t>
      </w:r>
      <w:r>
        <w:rPr>
          <w:rFonts w:ascii="Times New Roman" w:eastAsia="仿宋" w:hAnsi="Times New Roman" w:cs="仿宋" w:hint="eastAsia"/>
          <w:color w:val="000000"/>
          <w:sz w:val="28"/>
          <w:szCs w:val="28"/>
        </w:rPr>
        <w:t>60</w:t>
      </w:r>
      <w:r>
        <w:rPr>
          <w:rFonts w:ascii="Times New Roman" w:eastAsia="仿宋" w:hAnsi="Times New Roman" w:cs="仿宋" w:hint="eastAsia"/>
          <w:color w:val="000000"/>
          <w:sz w:val="28"/>
          <w:szCs w:val="28"/>
        </w:rPr>
        <w:t>余篇，包括《中国工业经济》《经济学（季刊）》</w:t>
      </w:r>
      <w:r>
        <w:rPr>
          <w:rFonts w:ascii="Times New Roman" w:eastAsia="仿宋" w:hAnsi="Times New Roman" w:cs="仿宋" w:hint="eastAsia"/>
          <w:color w:val="000000"/>
          <w:sz w:val="28"/>
          <w:szCs w:val="28"/>
        </w:rPr>
        <w:t>,Review of Economics and Statistics,  Economic Journal, Management Science</w:t>
      </w:r>
      <w:r>
        <w:rPr>
          <w:rFonts w:ascii="Times New Roman" w:eastAsia="仿宋" w:hAnsi="Times New Roman" w:cs="仿宋" w:hint="eastAsia"/>
          <w:color w:val="000000"/>
          <w:sz w:val="28"/>
          <w:szCs w:val="28"/>
        </w:rPr>
        <w:t>，</w:t>
      </w:r>
      <w:r>
        <w:rPr>
          <w:rFonts w:ascii="Times New Roman" w:eastAsia="仿宋" w:hAnsi="Times New Roman" w:cs="仿宋" w:hint="eastAsia"/>
          <w:color w:val="000000"/>
          <w:sz w:val="28"/>
          <w:szCs w:val="28"/>
        </w:rPr>
        <w:t>International Economic Review</w:t>
      </w:r>
      <w:r>
        <w:rPr>
          <w:rFonts w:ascii="Times New Roman" w:eastAsia="仿宋" w:hAnsi="Times New Roman" w:cs="仿宋" w:hint="eastAsia"/>
          <w:color w:val="000000"/>
          <w:sz w:val="28"/>
          <w:szCs w:val="28"/>
        </w:rPr>
        <w:t>，</w:t>
      </w:r>
      <w:r>
        <w:rPr>
          <w:rFonts w:ascii="Times New Roman" w:eastAsia="仿宋" w:hAnsi="Times New Roman" w:cs="仿宋" w:hint="eastAsia"/>
          <w:color w:val="000000"/>
          <w:sz w:val="28"/>
          <w:szCs w:val="28"/>
        </w:rPr>
        <w:t xml:space="preserve">Journal of Econometrics </w:t>
      </w:r>
      <w:r>
        <w:rPr>
          <w:rFonts w:ascii="Times New Roman" w:eastAsia="仿宋" w:hAnsi="Times New Roman" w:cs="仿宋" w:hint="eastAsia"/>
          <w:color w:val="000000"/>
          <w:sz w:val="28"/>
          <w:szCs w:val="28"/>
        </w:rPr>
        <w:t>等领域内顶级期刊</w:t>
      </w:r>
      <w:r>
        <w:rPr>
          <w:rFonts w:ascii="Times New Roman" w:eastAsia="仿宋" w:hAnsi="Times New Roman" w:cs="仿宋" w:hint="eastAsia"/>
          <w:color w:val="000000"/>
          <w:sz w:val="28"/>
          <w:szCs w:val="28"/>
        </w:rPr>
        <w:t>10</w:t>
      </w:r>
      <w:r>
        <w:rPr>
          <w:rFonts w:ascii="Times New Roman" w:eastAsia="仿宋" w:hAnsi="Times New Roman" w:cs="仿宋" w:hint="eastAsia"/>
          <w:color w:val="000000"/>
          <w:sz w:val="28"/>
          <w:szCs w:val="28"/>
        </w:rPr>
        <w:t>余篇③</w:t>
      </w:r>
      <w:r>
        <w:rPr>
          <w:rFonts w:ascii="Times New Roman" w:eastAsia="仿宋" w:hAnsi="Times New Roman" w:cs="仿宋" w:hint="eastAsia"/>
          <w:color w:val="000000"/>
          <w:sz w:val="28"/>
          <w:szCs w:val="28"/>
        </w:rPr>
        <w:t>2024</w:t>
      </w:r>
      <w:r>
        <w:rPr>
          <w:rFonts w:ascii="Times New Roman" w:eastAsia="仿宋" w:hAnsi="Times New Roman" w:cs="仿宋" w:hint="eastAsia"/>
          <w:color w:val="000000"/>
          <w:sz w:val="28"/>
          <w:szCs w:val="28"/>
        </w:rPr>
        <w:t>年，论文及研究报告荣获人文社会科学研究领域最高奖项教育部人文社科优秀成果奖</w:t>
      </w:r>
      <w:r>
        <w:rPr>
          <w:rFonts w:ascii="Times New Roman" w:eastAsia="仿宋" w:hAnsi="Times New Roman" w:cs="仿宋" w:hint="eastAsia"/>
          <w:color w:val="000000"/>
          <w:sz w:val="28"/>
          <w:szCs w:val="28"/>
        </w:rPr>
        <w:t>2</w:t>
      </w:r>
      <w:r>
        <w:rPr>
          <w:rFonts w:ascii="Times New Roman" w:eastAsia="仿宋" w:hAnsi="Times New Roman" w:cs="仿宋" w:hint="eastAsia"/>
          <w:color w:val="000000"/>
          <w:sz w:val="28"/>
          <w:szCs w:val="28"/>
        </w:rPr>
        <w:t>项、荣获广东省哲学社科优秀成果奖</w:t>
      </w:r>
      <w:r>
        <w:rPr>
          <w:rFonts w:ascii="Times New Roman" w:eastAsia="仿宋" w:hAnsi="Times New Roman" w:cs="仿宋" w:hint="eastAsia"/>
          <w:color w:val="000000"/>
          <w:sz w:val="28"/>
          <w:szCs w:val="28"/>
        </w:rPr>
        <w:t>6</w:t>
      </w:r>
      <w:r>
        <w:rPr>
          <w:rFonts w:ascii="Times New Roman" w:eastAsia="仿宋" w:hAnsi="Times New Roman" w:cs="仿宋" w:hint="eastAsia"/>
          <w:color w:val="000000"/>
          <w:sz w:val="28"/>
          <w:szCs w:val="28"/>
        </w:rPr>
        <w:t>项。</w:t>
      </w:r>
    </w:p>
    <w:p w14:paraId="657DD817" w14:textId="77777777" w:rsidR="003F41F0" w:rsidRDefault="00D3223F">
      <w:pPr>
        <w:numPr>
          <w:ilvl w:val="0"/>
          <w:numId w:val="3"/>
        </w:num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学术交流与社会服务：①</w:t>
      </w:r>
      <w:r>
        <w:rPr>
          <w:rFonts w:ascii="Times New Roman" w:eastAsia="仿宋" w:hAnsi="Times New Roman" w:cs="仿宋" w:hint="eastAsia"/>
          <w:color w:val="000000"/>
          <w:sz w:val="28"/>
          <w:szCs w:val="28"/>
        </w:rPr>
        <w:t>2024</w:t>
      </w:r>
      <w:r>
        <w:rPr>
          <w:rFonts w:ascii="Times New Roman" w:eastAsia="仿宋" w:hAnsi="Times New Roman" w:cs="仿宋" w:hint="eastAsia"/>
          <w:color w:val="000000"/>
          <w:sz w:val="28"/>
          <w:szCs w:val="28"/>
        </w:rPr>
        <w:t>年主办、承办</w:t>
      </w:r>
      <w:r>
        <w:rPr>
          <w:rFonts w:ascii="Times New Roman" w:eastAsia="仿宋" w:hAnsi="Times New Roman" w:cs="仿宋" w:hint="eastAsia"/>
          <w:color w:val="000000"/>
          <w:sz w:val="28"/>
          <w:szCs w:val="28"/>
        </w:rPr>
        <w:t>2023</w:t>
      </w:r>
      <w:r>
        <w:rPr>
          <w:rFonts w:ascii="Times New Roman" w:eastAsia="仿宋" w:hAnsi="Times New Roman" w:cs="仿宋" w:hint="eastAsia"/>
          <w:color w:val="000000"/>
          <w:sz w:val="28"/>
          <w:szCs w:val="28"/>
        </w:rPr>
        <w:t>年广东省经济学教育学术年会、第二届数字经济与未来产业专业建设及人才培养研讨会、第二届“中国数字经济发展论坛”、第二届全国青年统计学者前沿论坛等高水平学术会议</w:t>
      </w:r>
      <w:r>
        <w:rPr>
          <w:rFonts w:ascii="Times New Roman" w:eastAsia="仿宋" w:hAnsi="Times New Roman" w:cs="仿宋" w:hint="eastAsia"/>
          <w:color w:val="000000"/>
          <w:sz w:val="28"/>
          <w:szCs w:val="28"/>
        </w:rPr>
        <w:t>13</w:t>
      </w:r>
      <w:r>
        <w:rPr>
          <w:rFonts w:ascii="Times New Roman" w:eastAsia="仿宋" w:hAnsi="Times New Roman" w:cs="仿宋" w:hint="eastAsia"/>
          <w:color w:val="000000"/>
          <w:sz w:val="28"/>
          <w:szCs w:val="28"/>
        </w:rPr>
        <w:t>场。②承担政府和企事业单位委托课题研究</w:t>
      </w:r>
      <w:r>
        <w:rPr>
          <w:rFonts w:ascii="Times New Roman" w:eastAsia="仿宋" w:hAnsi="Times New Roman" w:cs="仿宋" w:hint="eastAsia"/>
          <w:color w:val="000000"/>
          <w:sz w:val="28"/>
          <w:szCs w:val="28"/>
        </w:rPr>
        <w:t>40</w:t>
      </w:r>
      <w:r>
        <w:rPr>
          <w:rFonts w:ascii="Times New Roman" w:eastAsia="仿宋" w:hAnsi="Times New Roman" w:cs="仿宋" w:hint="eastAsia"/>
          <w:color w:val="000000"/>
          <w:sz w:val="28"/>
          <w:szCs w:val="28"/>
        </w:rPr>
        <w:t>余项；为政府部门和企事业单位提供咨询报告多篇。③举办</w:t>
      </w:r>
      <w:r>
        <w:rPr>
          <w:rFonts w:ascii="Times New Roman" w:eastAsia="仿宋" w:hAnsi="Times New Roman" w:cs="仿宋" w:hint="eastAsia"/>
          <w:color w:val="000000"/>
          <w:sz w:val="28"/>
          <w:szCs w:val="28"/>
        </w:rPr>
        <w:t>Seminar72</w:t>
      </w:r>
      <w:r>
        <w:rPr>
          <w:rFonts w:ascii="Times New Roman" w:eastAsia="仿宋" w:hAnsi="Times New Roman" w:cs="仿宋" w:hint="eastAsia"/>
          <w:color w:val="000000"/>
          <w:sz w:val="28"/>
          <w:szCs w:val="28"/>
        </w:rPr>
        <w:t>期，推出行业前沿、国家金融学和中观经济学系列讲座共</w:t>
      </w:r>
      <w:r>
        <w:rPr>
          <w:rFonts w:ascii="Times New Roman" w:eastAsia="仿宋" w:hAnsi="Times New Roman" w:cs="仿宋" w:hint="eastAsia"/>
          <w:color w:val="000000"/>
          <w:sz w:val="28"/>
          <w:szCs w:val="28"/>
        </w:rPr>
        <w:t>69</w:t>
      </w:r>
      <w:r>
        <w:rPr>
          <w:rFonts w:ascii="Times New Roman" w:eastAsia="仿宋" w:hAnsi="Times New Roman" w:cs="仿宋" w:hint="eastAsia"/>
          <w:color w:val="000000"/>
          <w:sz w:val="28"/>
          <w:szCs w:val="28"/>
        </w:rPr>
        <w:t>期。</w:t>
      </w:r>
    </w:p>
    <w:p w14:paraId="77FA5C91" w14:textId="77777777" w:rsidR="003F41F0" w:rsidRDefault="00D3223F">
      <w:pPr>
        <w:pStyle w:val="10"/>
        <w:spacing w:before="0" w:after="0"/>
        <w:ind w:firstLineChars="200" w:firstLine="562"/>
        <w:rPr>
          <w:sz w:val="28"/>
          <w:szCs w:val="28"/>
        </w:rPr>
      </w:pPr>
      <w:r>
        <w:rPr>
          <w:rFonts w:hint="eastAsia"/>
          <w:b/>
          <w:bCs w:val="0"/>
          <w:sz w:val="28"/>
          <w:szCs w:val="28"/>
        </w:rPr>
        <w:t>六、改进措施</w:t>
      </w:r>
    </w:p>
    <w:p w14:paraId="0B4BF084" w14:textId="77777777" w:rsidR="003F41F0" w:rsidRDefault="00D3223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一）根据学科发展需求和重点发展专业精准引进人才，培养一支规模适度、结构多元、国内一流的师资队伍。按照“破五唯”的基本精神，推进人才管理体制、人才培养支持机制、人才评价机制、人才流动机制和人才激励机制等方面的改革，激发人才队伍活力。通过人才的“引进”和“激励”，引导教师从事高水平、引领性的研究。鼓励并引导骨干教师聚焦</w:t>
      </w:r>
      <w:bookmarkStart w:id="0" w:name="_GoBack"/>
      <w:bookmarkEnd w:id="0"/>
      <w:r>
        <w:rPr>
          <w:rFonts w:ascii="Times New Roman" w:eastAsia="仿宋" w:hAnsi="Times New Roman" w:cs="仿宋" w:hint="eastAsia"/>
          <w:color w:val="000000"/>
          <w:sz w:val="28"/>
          <w:szCs w:val="28"/>
        </w:rPr>
        <w:t>具有重大现实和理论意义的研究领域，深耕细作，打造高水平、原创性学术成果；做好博士后管理，挖掘博士后潜力，充分发挥博士后等在科研和教学方面的积极作用。</w:t>
      </w:r>
    </w:p>
    <w:p w14:paraId="3313DF9C" w14:textId="77777777" w:rsidR="003F41F0" w:rsidRDefault="00D3223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二）瞄准世界先进水平，把握学科国际发展前沿，借鉴和创新研究方法，进行原创性理论研究，做出一流学术成果。探索人口、资源与环境经济学，区域经济学与环境科学、海洋科学；统计学、金融学与大数据、数学等“新金融</w:t>
      </w:r>
      <w:r>
        <w:rPr>
          <w:rFonts w:ascii="Times New Roman" w:eastAsia="仿宋" w:hAnsi="Times New Roman" w:cs="仿宋" w:hint="eastAsia"/>
          <w:color w:val="000000"/>
          <w:sz w:val="28"/>
          <w:szCs w:val="28"/>
        </w:rPr>
        <w:t>/</w:t>
      </w:r>
      <w:r>
        <w:rPr>
          <w:rFonts w:ascii="Times New Roman" w:eastAsia="仿宋" w:hAnsi="Times New Roman" w:cs="仿宋" w:hint="eastAsia"/>
          <w:color w:val="000000"/>
          <w:sz w:val="28"/>
          <w:szCs w:val="28"/>
        </w:rPr>
        <w:t>新经济”方面的学科交叉融合，打造学科新增长点。围绕国家和广东省重要需求进行选题，凝练研究方向，打造学科新增长点，力争产出更多的国家重大重点项目、取得一批具有重大应用价值的成果，为国家和广东省提供决策依据。充分利用港澳特区经济研究所、广东产业发展与粤港澳台区域合作研究中心等研究机构，做好服务地方经济工作，确立在粤港澳大湾区经济研究</w:t>
      </w:r>
      <w:proofErr w:type="gramStart"/>
      <w:r>
        <w:rPr>
          <w:rFonts w:ascii="Times New Roman" w:eastAsia="仿宋" w:hAnsi="Times New Roman" w:cs="仿宋" w:hint="eastAsia"/>
          <w:color w:val="000000"/>
          <w:sz w:val="28"/>
          <w:szCs w:val="28"/>
        </w:rPr>
        <w:t>智库研究</w:t>
      </w:r>
      <w:proofErr w:type="gramEnd"/>
      <w:r>
        <w:rPr>
          <w:rFonts w:ascii="Times New Roman" w:eastAsia="仿宋" w:hAnsi="Times New Roman" w:cs="仿宋" w:hint="eastAsia"/>
          <w:color w:val="000000"/>
          <w:sz w:val="28"/>
          <w:szCs w:val="28"/>
        </w:rPr>
        <w:t>的主体地位。</w:t>
      </w:r>
    </w:p>
    <w:p w14:paraId="2D2D11AD" w14:textId="77777777" w:rsidR="003F41F0" w:rsidRDefault="00D3223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（三）聚焦立德树人根本任务和人才培养中心任务，优化人才培养理念；全面提高人才培养质量，优化培养模式，持续创新型人才培养体系；全面加强学生思想引领，探索建立港澳台多层次育人平台；进一步</w:t>
      </w:r>
      <w:proofErr w:type="gramStart"/>
      <w:r>
        <w:rPr>
          <w:rFonts w:ascii="Times New Roman" w:eastAsia="仿宋" w:hAnsi="Times New Roman" w:cs="仿宋" w:hint="eastAsia"/>
          <w:color w:val="000000"/>
          <w:sz w:val="28"/>
          <w:szCs w:val="28"/>
        </w:rPr>
        <w:t>完善内</w:t>
      </w:r>
      <w:proofErr w:type="gramEnd"/>
      <w:r>
        <w:rPr>
          <w:rFonts w:ascii="Times New Roman" w:eastAsia="仿宋" w:hAnsi="Times New Roman" w:cs="仿宋" w:hint="eastAsia"/>
          <w:color w:val="000000"/>
          <w:sz w:val="28"/>
          <w:szCs w:val="28"/>
        </w:rPr>
        <w:t>外招研究生分流教学、分类培养机制，全面深化分类培养模式，充分发挥“第一课堂”、“第二课堂”和科研育人、文化育人功能。以服务国家重大战略为导向，推进产学研融合，协同育人，进一步创新研究生培养模式。</w:t>
      </w:r>
    </w:p>
    <w:p w14:paraId="3F59F94D" w14:textId="77777777" w:rsidR="003F41F0" w:rsidRDefault="00D3223F">
      <w:pPr>
        <w:ind w:firstLineChars="200" w:firstLine="560"/>
        <w:rPr>
          <w:rFonts w:ascii="华文仿宋" w:eastAsia="华文仿宋" w:hAnsi="华文仿宋"/>
          <w:sz w:val="28"/>
          <w:szCs w:val="28"/>
        </w:rPr>
      </w:pPr>
      <w:r>
        <w:rPr>
          <w:rFonts w:ascii="Times New Roman" w:eastAsia="仿宋" w:hAnsi="Times New Roman" w:cs="仿宋" w:hint="eastAsia"/>
          <w:color w:val="000000"/>
          <w:sz w:val="28"/>
          <w:szCs w:val="28"/>
        </w:rPr>
        <w:t>（四）</w:t>
      </w:r>
      <w:r>
        <w:rPr>
          <w:rFonts w:ascii="华文仿宋" w:eastAsia="华文仿宋" w:hAnsi="华文仿宋" w:hint="eastAsia"/>
          <w:sz w:val="28"/>
          <w:szCs w:val="28"/>
        </w:rPr>
        <w:t>着力建设好“广东产业转型升级协同创新中心”“暨南大学南方高等金融研究院”“暨南大学乡村振兴研究院”“广东产业发展与粤港澳台区域合作研究中心"等科研平台，全面服务国家涉湾区各项急、重、新任务。以政策参与为导向，服务粤港澳大湾区各重点领域政策制定。以政策宣讲为媒介，为推进大湾区建设营造良好社会舆论氛围。建立“研究中心、横向课题、要报批示、干部培训”四位一体决策咨询服务体系，服务广东现代化产业体系。打造高水平的乡村振兴学术交流平台，努力将研究院建成有国际影响、全国领先、广东一流的乡村振兴智库。</w:t>
      </w:r>
    </w:p>
    <w:p w14:paraId="4F2443B1" w14:textId="77777777" w:rsidR="003F41F0" w:rsidRDefault="00D3223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五）进一步拓展国际“院际交流”规模，打造具有重大影响的国际学术交流平台，提升国际交流水平与影响力；持续加大与“一带一路”沿线国家和港澳台合作，为教师开展国际科研合作、师生交流互访、研究生联合培养提供更好保障，进一步提升人才培养的国际化水平。</w:t>
      </w:r>
    </w:p>
    <w:sectPr w:rsidR="003F41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等线 Light">
    <w:altName w:val="宋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FF1722"/>
    <w:multiLevelType w:val="singleLevel"/>
    <w:tmpl w:val="EEFF1722"/>
    <w:lvl w:ilvl="0">
      <w:start w:val="1"/>
      <w:numFmt w:val="chineseCounting"/>
      <w:suff w:val="nothing"/>
      <w:lvlText w:val="（%1）"/>
      <w:lvlJc w:val="left"/>
      <w:rPr>
        <w:rFonts w:hint="eastAsia"/>
      </w:rPr>
    </w:lvl>
  </w:abstractNum>
  <w:abstractNum w:abstractNumId="1">
    <w:nsid w:val="FB7F37B3"/>
    <w:multiLevelType w:val="singleLevel"/>
    <w:tmpl w:val="FB7F37B3"/>
    <w:lvl w:ilvl="0">
      <w:start w:val="2"/>
      <w:numFmt w:val="chineseCounting"/>
      <w:suff w:val="nothing"/>
      <w:lvlText w:val="（%1）"/>
      <w:lvlJc w:val="left"/>
      <w:rPr>
        <w:rFonts w:hint="eastAsia"/>
      </w:rPr>
    </w:lvl>
  </w:abstractNum>
  <w:abstractNum w:abstractNumId="2">
    <w:nsid w:val="7DDF23E8"/>
    <w:multiLevelType w:val="singleLevel"/>
    <w:tmpl w:val="7DDF23E8"/>
    <w:lvl w:ilvl="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3MTkzODgwNWNkNTUzZDE0NTc0NzZiMjJmMTQwOGUifQ=="/>
  </w:docVars>
  <w:rsids>
    <w:rsidRoot w:val="00172A27"/>
    <w:rsid w:val="B68FF163"/>
    <w:rsid w:val="BFBFF909"/>
    <w:rsid w:val="DDBF9794"/>
    <w:rsid w:val="DEF9588E"/>
    <w:rsid w:val="DF7890E0"/>
    <w:rsid w:val="DFEF0D91"/>
    <w:rsid w:val="F6BBEFB6"/>
    <w:rsid w:val="00172A27"/>
    <w:rsid w:val="001A0E22"/>
    <w:rsid w:val="001C2159"/>
    <w:rsid w:val="001E48CC"/>
    <w:rsid w:val="001E5109"/>
    <w:rsid w:val="0021150F"/>
    <w:rsid w:val="00363670"/>
    <w:rsid w:val="003817E1"/>
    <w:rsid w:val="003D148C"/>
    <w:rsid w:val="003F41F0"/>
    <w:rsid w:val="005A700A"/>
    <w:rsid w:val="007F17DF"/>
    <w:rsid w:val="00963A2F"/>
    <w:rsid w:val="00A77D3F"/>
    <w:rsid w:val="00C90D58"/>
    <w:rsid w:val="00D3223F"/>
    <w:rsid w:val="00D36243"/>
    <w:rsid w:val="00D55BBE"/>
    <w:rsid w:val="00DF0A8D"/>
    <w:rsid w:val="00F25668"/>
    <w:rsid w:val="09FD5D34"/>
    <w:rsid w:val="10FB636C"/>
    <w:rsid w:val="12922B20"/>
    <w:rsid w:val="136142A0"/>
    <w:rsid w:val="16033EA1"/>
    <w:rsid w:val="18D12DE4"/>
    <w:rsid w:val="1A662DD3"/>
    <w:rsid w:val="1E2C2670"/>
    <w:rsid w:val="20463045"/>
    <w:rsid w:val="22DFAF78"/>
    <w:rsid w:val="25312669"/>
    <w:rsid w:val="2D012636"/>
    <w:rsid w:val="300523FE"/>
    <w:rsid w:val="330B785D"/>
    <w:rsid w:val="3BB922A6"/>
    <w:rsid w:val="43C51A48"/>
    <w:rsid w:val="46317690"/>
    <w:rsid w:val="469C52D1"/>
    <w:rsid w:val="4CF94D04"/>
    <w:rsid w:val="526D5300"/>
    <w:rsid w:val="5A9A6A46"/>
    <w:rsid w:val="5FF52B66"/>
    <w:rsid w:val="606BA900"/>
    <w:rsid w:val="630D482E"/>
    <w:rsid w:val="66BB6AD3"/>
    <w:rsid w:val="66FE23B5"/>
    <w:rsid w:val="6AD7C40D"/>
    <w:rsid w:val="6B5477F9"/>
    <w:rsid w:val="6F7F9960"/>
    <w:rsid w:val="77C9D40A"/>
    <w:rsid w:val="77FBEEC3"/>
    <w:rsid w:val="7DE52B00"/>
    <w:rsid w:val="7E7856E8"/>
    <w:rsid w:val="7FFA6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0" w:qFormat="1"/>
    <w:lsdException w:name="Emphasis" w:semiHidden="0" w:uiPriority="20" w:unhideWhenUsed="0" w:qFormat="1"/>
    <w:lsdException w:name="Normal (Web)" w:semiHidden="0" w:uiPriority="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eastAsia="方正仿宋简体"/>
      <w:kern w:val="2"/>
      <w:sz w:val="32"/>
      <w:szCs w:val="24"/>
    </w:rPr>
  </w:style>
  <w:style w:type="paragraph" w:styleId="1">
    <w:name w:val="heading 1"/>
    <w:basedOn w:val="a"/>
    <w:next w:val="a"/>
    <w:link w:val="1Char"/>
    <w:autoRedefine/>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autoRedefine/>
    <w:uiPriority w:val="9"/>
    <w:unhideWhenUsed/>
    <w:qFormat/>
    <w:pPr>
      <w:keepNext/>
      <w:keepLines/>
      <w:spacing w:before="260" w:after="260" w:line="416" w:lineRule="auto"/>
      <w:outlineLvl w:val="2"/>
    </w:pPr>
    <w:rPr>
      <w:b/>
      <w:bCs/>
      <w:szCs w:val="32"/>
    </w:rPr>
  </w:style>
  <w:style w:type="paragraph" w:styleId="5">
    <w:name w:val="heading 5"/>
    <w:basedOn w:val="a"/>
    <w:next w:val="a"/>
    <w:link w:val="5Char"/>
    <w:autoRedefine/>
    <w:uiPriority w:val="9"/>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autoRedefine/>
    <w:uiPriority w:val="99"/>
    <w:semiHidden/>
    <w:unhideWhenUsed/>
    <w:qFormat/>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tabs>
        <w:tab w:val="center" w:pos="4153"/>
        <w:tab w:val="right" w:pos="8306"/>
      </w:tabs>
      <w:snapToGrid w:val="0"/>
      <w:jc w:val="center"/>
    </w:pPr>
    <w:rPr>
      <w:sz w:val="18"/>
      <w:szCs w:val="18"/>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Pr>
      <w:sz w:val="18"/>
      <w:szCs w:val="18"/>
    </w:rPr>
  </w:style>
  <w:style w:type="character" w:customStyle="1" w:styleId="NormalCharacter">
    <w:name w:val="NormalCharacter"/>
    <w:autoRedefine/>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autoRedefine/>
    <w:qFormat/>
    <w:pPr>
      <w:spacing w:line="600" w:lineRule="exact"/>
      <w:ind w:firstLineChars="200" w:firstLine="640"/>
      <w:textAlignment w:val="baseline"/>
    </w:pPr>
    <w:rPr>
      <w:rFonts w:ascii="黑体" w:eastAsia="黑体" w:hAnsi="黑体"/>
      <w:color w:val="000000"/>
      <w:szCs w:val="32"/>
    </w:rPr>
  </w:style>
  <w:style w:type="character" w:customStyle="1" w:styleId="3Char">
    <w:name w:val="标题 3 Char"/>
    <w:basedOn w:val="a0"/>
    <w:link w:val="3"/>
    <w:autoRedefine/>
    <w:uiPriority w:val="9"/>
    <w:qFormat/>
    <w:rPr>
      <w:rFonts w:eastAsia="方正仿宋简体"/>
      <w:b/>
      <w:bCs/>
      <w:sz w:val="32"/>
      <w:szCs w:val="32"/>
    </w:rPr>
  </w:style>
  <w:style w:type="character" w:customStyle="1" w:styleId="Char">
    <w:name w:val="日期 Char"/>
    <w:basedOn w:val="a0"/>
    <w:link w:val="a3"/>
    <w:autoRedefine/>
    <w:uiPriority w:val="99"/>
    <w:semiHidden/>
    <w:qFormat/>
    <w:rPr>
      <w:rFonts w:eastAsia="方正仿宋简体"/>
      <w:sz w:val="32"/>
      <w:szCs w:val="24"/>
    </w:rPr>
  </w:style>
  <w:style w:type="paragraph" w:customStyle="1" w:styleId="10">
    <w:name w:val="样式1"/>
    <w:basedOn w:val="1"/>
    <w:link w:val="11"/>
    <w:autoRedefine/>
    <w:qFormat/>
    <w:pPr>
      <w:spacing w:line="560" w:lineRule="exact"/>
      <w:jc w:val="left"/>
      <w:textAlignment w:val="baseline"/>
    </w:pPr>
    <w:rPr>
      <w:rFonts w:ascii="Times New Roman" w:eastAsia="楷体_GB2312" w:hAnsi="Times New Roman"/>
      <w:b w:val="0"/>
      <w:szCs w:val="32"/>
    </w:rPr>
  </w:style>
  <w:style w:type="character" w:customStyle="1" w:styleId="11">
    <w:name w:val="样式1 字符"/>
    <w:basedOn w:val="a0"/>
    <w:link w:val="10"/>
    <w:autoRedefine/>
    <w:qFormat/>
    <w:rPr>
      <w:rFonts w:ascii="Times New Roman" w:eastAsia="楷体_GB2312" w:hAnsi="Times New Roman"/>
      <w:bCs/>
      <w:kern w:val="44"/>
      <w:sz w:val="44"/>
      <w:szCs w:val="32"/>
    </w:rPr>
  </w:style>
  <w:style w:type="character" w:customStyle="1" w:styleId="1Char">
    <w:name w:val="标题 1 Char"/>
    <w:basedOn w:val="a0"/>
    <w:link w:val="1"/>
    <w:autoRedefine/>
    <w:uiPriority w:val="9"/>
    <w:qFormat/>
    <w:rPr>
      <w:rFonts w:eastAsia="方正仿宋简体"/>
      <w:b/>
      <w:bCs/>
      <w:kern w:val="44"/>
      <w:sz w:val="44"/>
      <w:szCs w:val="44"/>
    </w:rPr>
  </w:style>
  <w:style w:type="paragraph" w:customStyle="1" w:styleId="2">
    <w:name w:val="样式2"/>
    <w:basedOn w:val="3"/>
    <w:link w:val="20"/>
    <w:autoRedefine/>
    <w:qFormat/>
    <w:pPr>
      <w:spacing w:line="580" w:lineRule="exact"/>
    </w:pPr>
    <w:rPr>
      <w:rFonts w:ascii="Times New Roman" w:eastAsia="仿宋" w:hAnsi="Times New Roman" w:cs="仿宋"/>
      <w:color w:val="000000"/>
    </w:rPr>
  </w:style>
  <w:style w:type="character" w:customStyle="1" w:styleId="20">
    <w:name w:val="样式2 字符"/>
    <w:basedOn w:val="a0"/>
    <w:link w:val="2"/>
    <w:autoRedefine/>
    <w:qFormat/>
    <w:rPr>
      <w:rFonts w:ascii="Times New Roman" w:eastAsia="仿宋" w:hAnsi="Times New Roman" w:cs="仿宋"/>
      <w:b/>
      <w:bCs/>
      <w:color w:val="000000"/>
      <w:sz w:val="32"/>
      <w:szCs w:val="32"/>
    </w:rPr>
  </w:style>
  <w:style w:type="character" w:customStyle="1" w:styleId="5Char">
    <w:name w:val="标题 5 Char"/>
    <w:basedOn w:val="a0"/>
    <w:link w:val="5"/>
    <w:autoRedefine/>
    <w:uiPriority w:val="9"/>
    <w:semiHidden/>
    <w:qFormat/>
    <w:rPr>
      <w:rFonts w:eastAsia="方正仿宋简体"/>
      <w:b/>
      <w:bCs/>
      <w:sz w:val="28"/>
      <w:szCs w:val="28"/>
    </w:rPr>
  </w:style>
  <w:style w:type="paragraph" w:styleId="a6">
    <w:name w:val="List Paragraph"/>
    <w:basedOn w:val="a"/>
    <w:autoRedefine/>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0" w:qFormat="1"/>
    <w:lsdException w:name="Emphasis" w:semiHidden="0" w:uiPriority="20" w:unhideWhenUsed="0" w:qFormat="1"/>
    <w:lsdException w:name="Normal (Web)" w:semiHidden="0" w:uiPriority="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eastAsia="方正仿宋简体"/>
      <w:kern w:val="2"/>
      <w:sz w:val="32"/>
      <w:szCs w:val="24"/>
    </w:rPr>
  </w:style>
  <w:style w:type="paragraph" w:styleId="1">
    <w:name w:val="heading 1"/>
    <w:basedOn w:val="a"/>
    <w:next w:val="a"/>
    <w:link w:val="1Char"/>
    <w:autoRedefine/>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autoRedefine/>
    <w:uiPriority w:val="9"/>
    <w:unhideWhenUsed/>
    <w:qFormat/>
    <w:pPr>
      <w:keepNext/>
      <w:keepLines/>
      <w:spacing w:before="260" w:after="260" w:line="416" w:lineRule="auto"/>
      <w:outlineLvl w:val="2"/>
    </w:pPr>
    <w:rPr>
      <w:b/>
      <w:bCs/>
      <w:szCs w:val="32"/>
    </w:rPr>
  </w:style>
  <w:style w:type="paragraph" w:styleId="5">
    <w:name w:val="heading 5"/>
    <w:basedOn w:val="a"/>
    <w:next w:val="a"/>
    <w:link w:val="5Char"/>
    <w:autoRedefine/>
    <w:uiPriority w:val="9"/>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autoRedefine/>
    <w:uiPriority w:val="99"/>
    <w:semiHidden/>
    <w:unhideWhenUsed/>
    <w:qFormat/>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tabs>
        <w:tab w:val="center" w:pos="4153"/>
        <w:tab w:val="right" w:pos="8306"/>
      </w:tabs>
      <w:snapToGrid w:val="0"/>
      <w:jc w:val="center"/>
    </w:pPr>
    <w:rPr>
      <w:sz w:val="18"/>
      <w:szCs w:val="18"/>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Pr>
      <w:sz w:val="18"/>
      <w:szCs w:val="18"/>
    </w:rPr>
  </w:style>
  <w:style w:type="character" w:customStyle="1" w:styleId="NormalCharacter">
    <w:name w:val="NormalCharacter"/>
    <w:autoRedefine/>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autoRedefine/>
    <w:qFormat/>
    <w:pPr>
      <w:spacing w:line="600" w:lineRule="exact"/>
      <w:ind w:firstLineChars="200" w:firstLine="640"/>
      <w:textAlignment w:val="baseline"/>
    </w:pPr>
    <w:rPr>
      <w:rFonts w:ascii="黑体" w:eastAsia="黑体" w:hAnsi="黑体"/>
      <w:color w:val="000000"/>
      <w:szCs w:val="32"/>
    </w:rPr>
  </w:style>
  <w:style w:type="character" w:customStyle="1" w:styleId="3Char">
    <w:name w:val="标题 3 Char"/>
    <w:basedOn w:val="a0"/>
    <w:link w:val="3"/>
    <w:autoRedefine/>
    <w:uiPriority w:val="9"/>
    <w:qFormat/>
    <w:rPr>
      <w:rFonts w:eastAsia="方正仿宋简体"/>
      <w:b/>
      <w:bCs/>
      <w:sz w:val="32"/>
      <w:szCs w:val="32"/>
    </w:rPr>
  </w:style>
  <w:style w:type="character" w:customStyle="1" w:styleId="Char">
    <w:name w:val="日期 Char"/>
    <w:basedOn w:val="a0"/>
    <w:link w:val="a3"/>
    <w:autoRedefine/>
    <w:uiPriority w:val="99"/>
    <w:semiHidden/>
    <w:qFormat/>
    <w:rPr>
      <w:rFonts w:eastAsia="方正仿宋简体"/>
      <w:sz w:val="32"/>
      <w:szCs w:val="24"/>
    </w:rPr>
  </w:style>
  <w:style w:type="paragraph" w:customStyle="1" w:styleId="10">
    <w:name w:val="样式1"/>
    <w:basedOn w:val="1"/>
    <w:link w:val="11"/>
    <w:autoRedefine/>
    <w:qFormat/>
    <w:pPr>
      <w:spacing w:line="560" w:lineRule="exact"/>
      <w:jc w:val="left"/>
      <w:textAlignment w:val="baseline"/>
    </w:pPr>
    <w:rPr>
      <w:rFonts w:ascii="Times New Roman" w:eastAsia="楷体_GB2312" w:hAnsi="Times New Roman"/>
      <w:b w:val="0"/>
      <w:szCs w:val="32"/>
    </w:rPr>
  </w:style>
  <w:style w:type="character" w:customStyle="1" w:styleId="11">
    <w:name w:val="样式1 字符"/>
    <w:basedOn w:val="a0"/>
    <w:link w:val="10"/>
    <w:autoRedefine/>
    <w:qFormat/>
    <w:rPr>
      <w:rFonts w:ascii="Times New Roman" w:eastAsia="楷体_GB2312" w:hAnsi="Times New Roman"/>
      <w:bCs/>
      <w:kern w:val="44"/>
      <w:sz w:val="44"/>
      <w:szCs w:val="32"/>
    </w:rPr>
  </w:style>
  <w:style w:type="character" w:customStyle="1" w:styleId="1Char">
    <w:name w:val="标题 1 Char"/>
    <w:basedOn w:val="a0"/>
    <w:link w:val="1"/>
    <w:autoRedefine/>
    <w:uiPriority w:val="9"/>
    <w:qFormat/>
    <w:rPr>
      <w:rFonts w:eastAsia="方正仿宋简体"/>
      <w:b/>
      <w:bCs/>
      <w:kern w:val="44"/>
      <w:sz w:val="44"/>
      <w:szCs w:val="44"/>
    </w:rPr>
  </w:style>
  <w:style w:type="paragraph" w:customStyle="1" w:styleId="2">
    <w:name w:val="样式2"/>
    <w:basedOn w:val="3"/>
    <w:link w:val="20"/>
    <w:autoRedefine/>
    <w:qFormat/>
    <w:pPr>
      <w:spacing w:line="580" w:lineRule="exact"/>
    </w:pPr>
    <w:rPr>
      <w:rFonts w:ascii="Times New Roman" w:eastAsia="仿宋" w:hAnsi="Times New Roman" w:cs="仿宋"/>
      <w:color w:val="000000"/>
    </w:rPr>
  </w:style>
  <w:style w:type="character" w:customStyle="1" w:styleId="20">
    <w:name w:val="样式2 字符"/>
    <w:basedOn w:val="a0"/>
    <w:link w:val="2"/>
    <w:autoRedefine/>
    <w:qFormat/>
    <w:rPr>
      <w:rFonts w:ascii="Times New Roman" w:eastAsia="仿宋" w:hAnsi="Times New Roman" w:cs="仿宋"/>
      <w:b/>
      <w:bCs/>
      <w:color w:val="000000"/>
      <w:sz w:val="32"/>
      <w:szCs w:val="32"/>
    </w:rPr>
  </w:style>
  <w:style w:type="character" w:customStyle="1" w:styleId="5Char">
    <w:name w:val="标题 5 Char"/>
    <w:basedOn w:val="a0"/>
    <w:link w:val="5"/>
    <w:autoRedefine/>
    <w:uiPriority w:val="9"/>
    <w:semiHidden/>
    <w:qFormat/>
    <w:rPr>
      <w:rFonts w:eastAsia="方正仿宋简体"/>
      <w:b/>
      <w:bCs/>
      <w:sz w:val="28"/>
      <w:szCs w:val="28"/>
    </w:rPr>
  </w:style>
  <w:style w:type="paragraph" w:styleId="a6">
    <w:name w:val="List Paragraph"/>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825</Words>
  <Characters>4706</Characters>
  <Application>Microsoft Office Word</Application>
  <DocSecurity>0</DocSecurity>
  <Lines>39</Lines>
  <Paragraphs>11</Paragraphs>
  <ScaleCrop>false</ScaleCrop>
  <Company/>
  <LinksUpToDate>false</LinksUpToDate>
  <CharactersWithSpaces>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MAT817</dc:creator>
  <cp:lastModifiedBy>周丽华</cp:lastModifiedBy>
  <cp:revision>3</cp:revision>
  <dcterms:created xsi:type="dcterms:W3CDTF">2025-03-12T08:38:00Z</dcterms:created>
  <dcterms:modified xsi:type="dcterms:W3CDTF">2025-03-12T08:40:00Z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81FC5D9DFC2E47518D49A192C53952DD_13</vt:lpwstr>
  </property>
  <property fmtid="{D5CDD505-2E9C-101B-9397-08002B2CF9AE}" pid="4" name="KSOTemplateDocerSaveRecord">
    <vt:lpwstr>eyJoZGlkIjoiNzVlNTU5ZTgwNjFmMGE0ODUyOWQ5YWYwZmVjNDQ0ZWQifQ==</vt:lpwstr>
  </property>
</Properties>
</file>