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10F" w:rsidRPr="00CD510F" w:rsidRDefault="00CD510F" w:rsidP="00CD510F">
      <w:pPr>
        <w:rPr>
          <w:rFonts w:ascii="Times New Roman" w:eastAsia="方正仿宋简体" w:hAnsi="Times New Roman" w:cs="Times New Roman"/>
          <w:b/>
          <w:sz w:val="28"/>
          <w:szCs w:val="28"/>
        </w:rPr>
      </w:pPr>
      <w:bookmarkStart w:id="0" w:name="_GoBack"/>
      <w:bookmarkEnd w:id="0"/>
      <w:r w:rsidRPr="00CD510F">
        <w:rPr>
          <w:rFonts w:ascii="Times New Roman" w:eastAsia="方正仿宋简体" w:hAnsi="Times New Roman" w:cs="Times New Roman"/>
          <w:b/>
          <w:sz w:val="28"/>
          <w:szCs w:val="28"/>
        </w:rPr>
        <w:t>附件</w:t>
      </w:r>
      <w:r w:rsidRPr="00CD510F">
        <w:rPr>
          <w:rFonts w:ascii="Times New Roman" w:eastAsia="方正仿宋简体" w:hAnsi="Times New Roman" w:cs="Times New Roman" w:hint="eastAsia"/>
          <w:b/>
          <w:sz w:val="28"/>
          <w:szCs w:val="28"/>
        </w:rPr>
        <w:t>3</w:t>
      </w:r>
    </w:p>
    <w:p w:rsidR="00CD510F" w:rsidRPr="00CD510F" w:rsidRDefault="00CD510F" w:rsidP="00CD510F">
      <w:pPr>
        <w:spacing w:after="156" w:line="560" w:lineRule="exact"/>
        <w:jc w:val="center"/>
        <w:textAlignment w:val="baseline"/>
        <w:rPr>
          <w:rFonts w:ascii="方正小标宋简体" w:eastAsia="方正小标宋简体" w:hAnsi="宋体" w:cs="Times New Roman"/>
          <w:b/>
          <w:sz w:val="44"/>
          <w:szCs w:val="44"/>
        </w:rPr>
      </w:pPr>
    </w:p>
    <w:p w:rsidR="00CD510F" w:rsidRPr="00CD510F" w:rsidRDefault="00CD510F" w:rsidP="00CD510F">
      <w:pPr>
        <w:spacing w:after="156" w:line="560" w:lineRule="exact"/>
        <w:jc w:val="center"/>
        <w:textAlignment w:val="baseline"/>
        <w:rPr>
          <w:rFonts w:ascii="方正小标宋简体" w:eastAsia="方正小标宋简体" w:hAnsi="宋体" w:cs="Times New Roman"/>
          <w:bCs/>
          <w:sz w:val="44"/>
          <w:szCs w:val="44"/>
        </w:rPr>
      </w:pPr>
    </w:p>
    <w:p w:rsidR="00CD510F" w:rsidRPr="00CD510F" w:rsidRDefault="00CD510F" w:rsidP="00CD510F">
      <w:pPr>
        <w:spacing w:after="156" w:line="560" w:lineRule="exact"/>
        <w:jc w:val="center"/>
        <w:textAlignment w:val="baseline"/>
        <w:rPr>
          <w:rFonts w:ascii="方正小标宋简体" w:eastAsia="方正小标宋简体" w:hAnsi="宋体" w:cs="Times New Roman"/>
          <w:bCs/>
          <w:sz w:val="44"/>
          <w:szCs w:val="44"/>
        </w:rPr>
      </w:pPr>
    </w:p>
    <w:p w:rsidR="00625F0A" w:rsidRPr="00625F0A" w:rsidRDefault="00625F0A" w:rsidP="00625F0A">
      <w:pPr>
        <w:spacing w:after="156" w:line="300" w:lineRule="auto"/>
        <w:jc w:val="center"/>
        <w:textAlignment w:val="baseline"/>
        <w:rPr>
          <w:rFonts w:ascii="方正小标宋简体" w:eastAsia="方正小标宋简体" w:hAnsi="宋体" w:cs="Times New Roman"/>
          <w:bCs/>
          <w:sz w:val="44"/>
          <w:szCs w:val="44"/>
        </w:rPr>
      </w:pPr>
      <w:r w:rsidRPr="00625F0A">
        <w:rPr>
          <w:rFonts w:ascii="方正小标宋简体" w:eastAsia="方正小标宋简体" w:hAnsi="宋体" w:cs="Times New Roman" w:hint="eastAsia"/>
          <w:bCs/>
          <w:sz w:val="44"/>
          <w:szCs w:val="44"/>
        </w:rPr>
        <w:t>学位授权点质量建设年度报告</w:t>
      </w:r>
    </w:p>
    <w:p w:rsidR="00CD510F" w:rsidRPr="00625F0A" w:rsidRDefault="00CD510F" w:rsidP="00CD510F">
      <w:pPr>
        <w:spacing w:after="156" w:line="560" w:lineRule="exact"/>
        <w:jc w:val="center"/>
        <w:textAlignment w:val="baseline"/>
        <w:rPr>
          <w:rFonts w:ascii="方正小标宋简体" w:eastAsia="方正小标宋简体" w:hAnsi="宋体" w:cs="Times New Roman"/>
          <w:bCs/>
          <w:sz w:val="44"/>
          <w:szCs w:val="44"/>
        </w:rPr>
      </w:pPr>
    </w:p>
    <w:p w:rsidR="00CD510F" w:rsidRPr="00CD510F" w:rsidRDefault="00CD510F" w:rsidP="00CD510F">
      <w:pPr>
        <w:spacing w:after="156" w:line="560" w:lineRule="exact"/>
        <w:jc w:val="center"/>
        <w:textAlignment w:val="baseline"/>
        <w:rPr>
          <w:rFonts w:ascii="方正小标宋简体" w:eastAsia="方正小标宋简体" w:hAnsi="宋体" w:cs="Times New Roman"/>
          <w:bCs/>
          <w:sz w:val="44"/>
          <w:szCs w:val="44"/>
        </w:rPr>
      </w:pPr>
      <w:r w:rsidRPr="00CD510F">
        <w:rPr>
          <w:rFonts w:ascii="方正小标宋简体" w:eastAsia="方正小标宋简体" w:hAnsi="宋体" w:cs="Times New Roman"/>
          <w:bCs/>
          <w:sz w:val="44"/>
          <w:szCs w:val="44"/>
        </w:rPr>
        <w:t>（2021</w:t>
      </w:r>
      <w:r w:rsidRPr="00CD510F">
        <w:rPr>
          <w:rFonts w:ascii="方正小标宋简体" w:eastAsia="方正小标宋简体" w:hAnsi="宋体" w:cs="Times New Roman" w:hint="eastAsia"/>
          <w:bCs/>
          <w:sz w:val="44"/>
          <w:szCs w:val="44"/>
        </w:rPr>
        <w:t>年</w:t>
      </w:r>
      <w:r w:rsidRPr="00CD510F">
        <w:rPr>
          <w:rFonts w:ascii="方正小标宋简体" w:eastAsia="方正小标宋简体" w:hAnsi="宋体" w:cs="Times New Roman"/>
          <w:bCs/>
          <w:sz w:val="44"/>
          <w:szCs w:val="44"/>
        </w:rPr>
        <w:t>）</w:t>
      </w:r>
      <w:r w:rsidR="006601AB">
        <w:rPr>
          <w:rFonts w:ascii="方正小标宋简体" w:eastAsia="方正小标宋简体" w:hAnsi="宋体" w:cs="Times New Roman"/>
          <w:bCs/>
          <w:sz w:val="44"/>
          <w:szCs w:val="44"/>
        </w:rPr>
        <w:t xml:space="preserve"> </w:t>
      </w:r>
    </w:p>
    <w:p w:rsidR="00CD510F" w:rsidRPr="00CD510F" w:rsidRDefault="00CD510F" w:rsidP="00CD510F">
      <w:pPr>
        <w:snapToGrid w:val="0"/>
        <w:jc w:val="center"/>
        <w:textAlignment w:val="baseline"/>
        <w:rPr>
          <w:rFonts w:ascii="Times New Roman" w:eastAsia="宋体" w:hAnsi="Times New Roman" w:cs="Times New Roman"/>
          <w:b/>
          <w:sz w:val="48"/>
          <w:szCs w:val="20"/>
        </w:rPr>
      </w:pPr>
    </w:p>
    <w:p w:rsidR="00CD510F" w:rsidRPr="00CD510F" w:rsidRDefault="00CD510F" w:rsidP="00CD510F">
      <w:pPr>
        <w:snapToGrid w:val="0"/>
        <w:jc w:val="center"/>
        <w:textAlignment w:val="baseline"/>
        <w:rPr>
          <w:rFonts w:ascii="Times New Roman" w:eastAsia="宋体" w:hAnsi="Times New Roman" w:cs="Times New Roman"/>
          <w:b/>
          <w:sz w:val="48"/>
          <w:szCs w:val="20"/>
        </w:rPr>
      </w:pPr>
    </w:p>
    <w:p w:rsidR="00CD510F" w:rsidRPr="00CD510F" w:rsidRDefault="00CD510F" w:rsidP="00CD510F">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CD510F" w:rsidRPr="00CD510F" w:rsidTr="00495041">
        <w:trPr>
          <w:trHeight w:val="794"/>
          <w:jc w:val="center"/>
        </w:trPr>
        <w:tc>
          <w:tcPr>
            <w:tcW w:w="1507" w:type="dxa"/>
            <w:vMerge w:val="restart"/>
            <w:tcBorders>
              <w:top w:val="nil"/>
              <w:left w:val="nil"/>
              <w:bottom w:val="single" w:sz="4" w:space="0" w:color="000000"/>
              <w:right w:val="single" w:sz="4" w:space="0" w:color="000000"/>
            </w:tcBorders>
            <w:vAlign w:val="center"/>
          </w:tcPr>
          <w:p w:rsidR="00CD510F" w:rsidRPr="00CD510F" w:rsidRDefault="00CD510F" w:rsidP="00CD510F">
            <w:pPr>
              <w:snapToGrid w:val="0"/>
              <w:spacing w:line="240" w:lineRule="atLeast"/>
              <w:jc w:val="center"/>
              <w:textAlignment w:val="baseline"/>
              <w:rPr>
                <w:rFonts w:ascii="Times New Roman" w:eastAsia="宋体" w:hAnsi="Times New Roman" w:cs="Times New Roman"/>
                <w:b/>
                <w:spacing w:val="-10"/>
                <w:sz w:val="32"/>
                <w:szCs w:val="32"/>
              </w:rPr>
            </w:pPr>
            <w:r w:rsidRPr="00CD510F">
              <w:rPr>
                <w:rFonts w:ascii="Times New Roman" w:eastAsia="宋体" w:hAnsi="Times New Roman" w:cs="Times New Roman"/>
                <w:b/>
                <w:spacing w:val="-10"/>
                <w:sz w:val="32"/>
                <w:szCs w:val="32"/>
              </w:rPr>
              <w:t>高校</w:t>
            </w:r>
          </w:p>
          <w:p w:rsidR="00CD510F" w:rsidRPr="00CD510F" w:rsidRDefault="00CD510F" w:rsidP="00CD510F">
            <w:pPr>
              <w:snapToGrid w:val="0"/>
              <w:spacing w:line="240" w:lineRule="atLeast"/>
              <w:jc w:val="center"/>
              <w:textAlignment w:val="baseline"/>
              <w:rPr>
                <w:rFonts w:ascii="Times New Roman" w:eastAsia="宋体" w:hAnsi="Times New Roman" w:cs="Times New Roman"/>
                <w:b/>
                <w:spacing w:val="-10"/>
                <w:sz w:val="32"/>
                <w:szCs w:val="32"/>
              </w:rPr>
            </w:pPr>
            <w:r w:rsidRPr="00CD510F">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CD510F" w:rsidRPr="00CD510F" w:rsidRDefault="00CD510F" w:rsidP="00CD510F">
            <w:pPr>
              <w:snapToGrid w:val="0"/>
              <w:spacing w:line="300" w:lineRule="auto"/>
              <w:textAlignment w:val="baseline"/>
              <w:rPr>
                <w:rFonts w:ascii="Times New Roman" w:eastAsia="宋体" w:hAnsi="Times New Roman" w:cs="Times New Roman"/>
                <w:b/>
                <w:spacing w:val="-10"/>
                <w:sz w:val="32"/>
                <w:szCs w:val="32"/>
              </w:rPr>
            </w:pPr>
            <w:r w:rsidRPr="00CD510F">
              <w:rPr>
                <w:rFonts w:ascii="Times New Roman" w:eastAsia="宋体" w:hAnsi="Times New Roman" w:cs="Times New Roman"/>
                <w:b/>
                <w:spacing w:val="-10"/>
                <w:sz w:val="32"/>
                <w:szCs w:val="32"/>
              </w:rPr>
              <w:t>名称：</w:t>
            </w:r>
            <w:r w:rsidRPr="00CD510F">
              <w:rPr>
                <w:rFonts w:ascii="Times New Roman" w:eastAsia="宋体" w:hAnsi="Times New Roman" w:cs="Times New Roman" w:hint="eastAsia"/>
                <w:b/>
                <w:spacing w:val="-10"/>
                <w:sz w:val="32"/>
                <w:szCs w:val="32"/>
              </w:rPr>
              <w:t>应用统计</w:t>
            </w:r>
          </w:p>
        </w:tc>
      </w:tr>
      <w:tr w:rsidR="00CD510F" w:rsidRPr="00CD510F" w:rsidTr="00495041">
        <w:trPr>
          <w:trHeight w:val="794"/>
          <w:jc w:val="center"/>
        </w:trPr>
        <w:tc>
          <w:tcPr>
            <w:tcW w:w="1507" w:type="dxa"/>
            <w:vMerge/>
            <w:tcBorders>
              <w:top w:val="single" w:sz="4" w:space="0" w:color="000000"/>
              <w:left w:val="nil"/>
              <w:bottom w:val="nil"/>
              <w:right w:val="single" w:sz="4" w:space="0" w:color="000000"/>
            </w:tcBorders>
            <w:vAlign w:val="center"/>
          </w:tcPr>
          <w:p w:rsidR="00CD510F" w:rsidRPr="00CD510F" w:rsidRDefault="00CD510F" w:rsidP="00CD510F">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CD510F" w:rsidRPr="00CD510F" w:rsidRDefault="00CD510F" w:rsidP="00CD510F">
            <w:pPr>
              <w:snapToGrid w:val="0"/>
              <w:spacing w:line="300" w:lineRule="auto"/>
              <w:textAlignment w:val="baseline"/>
              <w:rPr>
                <w:rFonts w:ascii="Times New Roman" w:eastAsia="宋体" w:hAnsi="Times New Roman" w:cs="Times New Roman"/>
                <w:b/>
                <w:spacing w:val="-10"/>
                <w:sz w:val="32"/>
                <w:szCs w:val="32"/>
              </w:rPr>
            </w:pPr>
            <w:r w:rsidRPr="00CD510F">
              <w:rPr>
                <w:rFonts w:ascii="Times New Roman" w:eastAsia="宋体" w:hAnsi="Times New Roman" w:cs="Times New Roman"/>
                <w:b/>
                <w:spacing w:val="-10"/>
                <w:sz w:val="32"/>
                <w:szCs w:val="32"/>
              </w:rPr>
              <w:t>代码：</w:t>
            </w:r>
            <w:r w:rsidRPr="00CD510F">
              <w:rPr>
                <w:rFonts w:ascii="Times New Roman" w:eastAsia="宋体" w:hAnsi="Times New Roman" w:cs="Times New Roman" w:hint="eastAsia"/>
                <w:b/>
                <w:spacing w:val="-10"/>
                <w:sz w:val="32"/>
                <w:szCs w:val="32"/>
              </w:rPr>
              <w:t>0</w:t>
            </w:r>
            <w:r w:rsidRPr="00CD510F">
              <w:rPr>
                <w:rFonts w:ascii="Times New Roman" w:eastAsia="宋体" w:hAnsi="Times New Roman" w:cs="Times New Roman"/>
                <w:b/>
                <w:spacing w:val="-10"/>
                <w:sz w:val="32"/>
                <w:szCs w:val="32"/>
              </w:rPr>
              <w:t>25200</w:t>
            </w:r>
          </w:p>
        </w:tc>
      </w:tr>
    </w:tbl>
    <w:p w:rsidR="00CD510F" w:rsidRPr="00CD510F" w:rsidRDefault="00CD510F" w:rsidP="00CD510F">
      <w:pPr>
        <w:snapToGrid w:val="0"/>
        <w:spacing w:line="300" w:lineRule="auto"/>
        <w:jc w:val="center"/>
        <w:textAlignment w:val="baseline"/>
        <w:rPr>
          <w:rFonts w:ascii="Times New Roman" w:eastAsia="宋体" w:hAnsi="Times New Roman" w:cs="Times New Roman"/>
          <w:b/>
          <w:sz w:val="48"/>
          <w:szCs w:val="20"/>
        </w:rPr>
      </w:pPr>
    </w:p>
    <w:p w:rsidR="00CD510F" w:rsidRPr="00CD510F" w:rsidRDefault="00CD510F" w:rsidP="00CD510F">
      <w:pPr>
        <w:spacing w:line="560" w:lineRule="exact"/>
        <w:jc w:val="center"/>
        <w:textAlignment w:val="baseline"/>
        <w:rPr>
          <w:rFonts w:ascii="Times New Roman" w:eastAsia="楷体_GB2312" w:hAnsi="Times New Roman" w:cs="Times New Roman"/>
          <w:b/>
          <w:sz w:val="30"/>
          <w:szCs w:val="30"/>
        </w:rPr>
      </w:pPr>
    </w:p>
    <w:p w:rsidR="00CD510F" w:rsidRPr="00CD510F" w:rsidRDefault="00CD510F" w:rsidP="00CD510F">
      <w:pPr>
        <w:widowControl/>
        <w:spacing w:line="600" w:lineRule="exact"/>
        <w:ind w:firstLineChars="200" w:firstLine="640"/>
        <w:textAlignment w:val="baseline"/>
        <w:rPr>
          <w:rFonts w:ascii="Calibri" w:eastAsia="方正仿宋简体" w:hAnsi="Calibri" w:cs="Times New Roman"/>
          <w:sz w:val="32"/>
          <w:szCs w:val="24"/>
        </w:rPr>
      </w:pPr>
    </w:p>
    <w:p w:rsidR="00CD510F" w:rsidRPr="00CD510F" w:rsidRDefault="00CD510F" w:rsidP="00CD510F">
      <w:pPr>
        <w:rPr>
          <w:rFonts w:ascii="黑体" w:eastAsia="黑体" w:hAnsi="黑体" w:cs="Times New Roman"/>
          <w:sz w:val="32"/>
          <w:szCs w:val="32"/>
        </w:rPr>
      </w:pPr>
    </w:p>
    <w:p w:rsidR="00CD510F" w:rsidRPr="00CD510F" w:rsidRDefault="00CD510F" w:rsidP="00CD510F">
      <w:pPr>
        <w:keepNext/>
        <w:keepLines/>
        <w:spacing w:before="260" w:after="260" w:line="416" w:lineRule="auto"/>
        <w:outlineLvl w:val="2"/>
        <w:rPr>
          <w:rFonts w:ascii="Calibri" w:eastAsia="方正仿宋简体" w:hAnsi="Calibri" w:cs="Times New Roman"/>
          <w:b/>
          <w:bCs/>
          <w:sz w:val="32"/>
          <w:szCs w:val="32"/>
        </w:rPr>
      </w:pPr>
    </w:p>
    <w:p w:rsidR="00CD510F" w:rsidRPr="00CD510F" w:rsidRDefault="00CD510F" w:rsidP="00CD510F">
      <w:pPr>
        <w:spacing w:line="560" w:lineRule="exact"/>
        <w:jc w:val="center"/>
        <w:textAlignment w:val="baseline"/>
        <w:rPr>
          <w:rFonts w:ascii="Times New Roman" w:eastAsia="楷体_GB2312" w:hAnsi="Times New Roman" w:cs="Times New Roman"/>
          <w:b/>
          <w:sz w:val="30"/>
          <w:szCs w:val="30"/>
        </w:rPr>
      </w:pPr>
    </w:p>
    <w:p w:rsidR="00CD510F" w:rsidRPr="00CD510F" w:rsidRDefault="00CD510F" w:rsidP="00CD510F">
      <w:pPr>
        <w:spacing w:line="560" w:lineRule="exact"/>
        <w:jc w:val="center"/>
        <w:textAlignment w:val="baseline"/>
        <w:rPr>
          <w:rFonts w:ascii="黑体" w:eastAsia="黑体" w:hAnsi="黑体" w:cs="Times New Roman"/>
          <w:sz w:val="32"/>
          <w:szCs w:val="32"/>
        </w:rPr>
        <w:sectPr w:rsidR="00CD510F" w:rsidRPr="00CD510F">
          <w:footerReference w:type="default" r:id="rId7"/>
          <w:pgSz w:w="11906" w:h="16838"/>
          <w:pgMar w:top="1440" w:right="1800" w:bottom="1440" w:left="1800" w:header="851" w:footer="992" w:gutter="0"/>
          <w:cols w:space="425"/>
          <w:docGrid w:type="lines" w:linePitch="312"/>
        </w:sectPr>
      </w:pPr>
      <w:r w:rsidRPr="00CD510F">
        <w:rPr>
          <w:rFonts w:ascii="Times New Roman" w:eastAsia="楷体_GB2312" w:hAnsi="Times New Roman" w:cs="Times New Roman"/>
          <w:b/>
          <w:sz w:val="32"/>
          <w:szCs w:val="32"/>
        </w:rPr>
        <w:t>2022</w:t>
      </w:r>
      <w:r w:rsidRPr="00CD510F">
        <w:rPr>
          <w:rFonts w:ascii="Times New Roman" w:eastAsia="楷体_GB2312" w:hAnsi="Times New Roman" w:cs="Times New Roman"/>
          <w:b/>
          <w:sz w:val="32"/>
          <w:szCs w:val="32"/>
        </w:rPr>
        <w:t>年</w:t>
      </w:r>
      <w:r w:rsidRPr="00CD510F">
        <w:rPr>
          <w:rFonts w:ascii="Times New Roman" w:eastAsia="楷体_GB2312" w:hAnsi="Times New Roman" w:cs="Times New Roman"/>
          <w:b/>
          <w:sz w:val="32"/>
          <w:szCs w:val="32"/>
        </w:rPr>
        <w:t xml:space="preserve">  1</w:t>
      </w:r>
      <w:r w:rsidRPr="00CD510F">
        <w:rPr>
          <w:rFonts w:ascii="Times New Roman" w:eastAsia="楷体_GB2312" w:hAnsi="Times New Roman" w:cs="Times New Roman"/>
          <w:b/>
          <w:sz w:val="32"/>
          <w:szCs w:val="32"/>
        </w:rPr>
        <w:t>月</w:t>
      </w:r>
      <w:r w:rsidRPr="00CD510F">
        <w:rPr>
          <w:rFonts w:ascii="Times New Roman" w:eastAsia="楷体_GB2312" w:hAnsi="Times New Roman" w:cs="Times New Roman"/>
          <w:b/>
          <w:sz w:val="32"/>
          <w:szCs w:val="32"/>
        </w:rPr>
        <w:t xml:space="preserve"> 11 </w:t>
      </w:r>
      <w:r w:rsidRPr="00CD510F">
        <w:rPr>
          <w:rFonts w:ascii="Times New Roman" w:eastAsia="楷体_GB2312" w:hAnsi="Times New Roman" w:cs="Times New Roman"/>
          <w:b/>
          <w:sz w:val="32"/>
          <w:szCs w:val="32"/>
        </w:rPr>
        <w:t>日</w:t>
      </w:r>
    </w:p>
    <w:p w:rsidR="00CD510F" w:rsidRPr="00CD510F" w:rsidRDefault="00CD510F" w:rsidP="00CD510F">
      <w:pPr>
        <w:widowControl/>
        <w:spacing w:beforeLines="50" w:before="156" w:line="360" w:lineRule="auto"/>
        <w:textAlignment w:val="baseline"/>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lastRenderedPageBreak/>
        <w:t>一、学位授权点基本情况</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（一）培养目标</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应用统计硕士专业学位的培养目标是为具有国民教育序列大学本科学历</w:t>
      </w:r>
      <w:r w:rsidRPr="00CD510F">
        <w:rPr>
          <w:rFonts w:ascii="仿宋" w:eastAsia="仿宋" w:hAnsi="仿宋" w:cs="仿宋"/>
          <w:kern w:val="0"/>
          <w:sz w:val="32"/>
          <w:lang w:val="zh-CN" w:bidi="zh-CN"/>
        </w:rPr>
        <w:t>(</w:t>
      </w:r>
      <w:r w:rsidRPr="00CD510F">
        <w:rPr>
          <w:rFonts w:ascii="仿宋" w:eastAsia="仿宋" w:hAnsi="仿宋" w:cs="仿宋" w:hint="eastAsia"/>
          <w:kern w:val="0"/>
          <w:sz w:val="32"/>
          <w:lang w:val="zh-CN" w:bidi="zh-CN"/>
        </w:rPr>
        <w:t>或本科同等学力</w:t>
      </w:r>
      <w:r w:rsidRPr="00CD510F">
        <w:rPr>
          <w:rFonts w:ascii="仿宋" w:eastAsia="仿宋" w:hAnsi="仿宋" w:cs="仿宋"/>
          <w:kern w:val="0"/>
          <w:sz w:val="32"/>
          <w:lang w:val="zh-CN" w:bidi="zh-CN"/>
        </w:rPr>
        <w:t>)</w:t>
      </w:r>
      <w:r w:rsidRPr="00CD510F">
        <w:rPr>
          <w:rFonts w:ascii="仿宋" w:eastAsia="仿宋" w:hAnsi="仿宋" w:cs="仿宋" w:hint="eastAsia"/>
          <w:kern w:val="0"/>
          <w:sz w:val="32"/>
          <w:lang w:val="zh-CN" w:bidi="zh-CN"/>
        </w:rPr>
        <w:t>人员提供关于数据采集、整理、描述以及依据数据做出推断分析和预测等系统性的专业训练，培养具有坚实的应用统计学基础，具有数据采集、处理和分析专长，能在政府部门、企事业单位、咨询和研究机构从事应用统计工作的高级专门人才。基本要求如下：</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kern w:val="0"/>
          <w:sz w:val="32"/>
          <w:lang w:val="zh-CN" w:bidi="zh-CN"/>
        </w:rPr>
        <w:t>1</w:t>
      </w:r>
      <w:r w:rsidRPr="00CD510F">
        <w:rPr>
          <w:rFonts w:ascii="仿宋" w:eastAsia="仿宋" w:hAnsi="仿宋" w:cs="仿宋" w:hint="eastAsia"/>
          <w:kern w:val="0"/>
          <w:sz w:val="32"/>
          <w:lang w:val="zh-CN" w:bidi="zh-CN"/>
        </w:rPr>
        <w:t>．培养热爱祖国，遵纪守法，品行端正，求实进取，具有良好的政治素质和职业道德，积极为祖国的现代化建设服务的应用统计专门人才。</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kern w:val="0"/>
          <w:sz w:val="32"/>
          <w:lang w:val="zh-CN" w:bidi="zh-CN"/>
        </w:rPr>
        <w:t>2</w:t>
      </w:r>
      <w:r w:rsidRPr="00CD510F">
        <w:rPr>
          <w:rFonts w:ascii="仿宋" w:eastAsia="仿宋" w:hAnsi="仿宋" w:cs="仿宋" w:hint="eastAsia"/>
          <w:kern w:val="0"/>
          <w:sz w:val="32"/>
          <w:lang w:val="zh-CN" w:bidi="zh-CN"/>
        </w:rPr>
        <w:t>．培养具有扎实的统计专业基础，受到良好统计专业训练和逻辑思维训练，能熟练运用统计分析软件，具有独立从事实际领域数据采集、处理和分析能力的应用型统计人才。</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kern w:val="0"/>
          <w:sz w:val="32"/>
          <w:lang w:val="zh-CN" w:bidi="zh-CN"/>
        </w:rPr>
        <w:t>3</w:t>
      </w:r>
      <w:r w:rsidRPr="00CD510F">
        <w:rPr>
          <w:rFonts w:ascii="仿宋" w:eastAsia="仿宋" w:hAnsi="仿宋" w:cs="仿宋" w:hint="eastAsia"/>
          <w:kern w:val="0"/>
          <w:sz w:val="32"/>
          <w:lang w:val="zh-CN" w:bidi="zh-CN"/>
        </w:rPr>
        <w:t>．掌握一门外语的实际应用。</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kern w:val="0"/>
          <w:sz w:val="32"/>
          <w:lang w:val="zh-CN" w:bidi="zh-CN"/>
        </w:rPr>
        <w:t>4</w:t>
      </w:r>
      <w:r w:rsidRPr="00CD510F">
        <w:rPr>
          <w:rFonts w:ascii="仿宋" w:eastAsia="仿宋" w:hAnsi="仿宋" w:cs="仿宋" w:hint="eastAsia"/>
          <w:kern w:val="0"/>
          <w:sz w:val="32"/>
          <w:lang w:val="zh-CN" w:bidi="zh-CN"/>
        </w:rPr>
        <w:t>．努力锻炼身体，具有健康的体魄。</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（二）学位标准</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应具备以下几方面的知识和能力：</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1.具有扎实的统计专业基础，受到良好统计专业训练和逻辑思维训练，能熟练运用统计分析软件，具有独立从事实际领域数据采集、处理和分析能力的应用型统计人才；</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2.修满38学分，其中公共学位课4学分、专业学位课13学分、非学位课最低21 学分，最高 21 学分；</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3.独立撰写一篇合格的关于统计应用方面的毕业论文；</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b/>
          <w:kern w:val="0"/>
          <w:sz w:val="32"/>
          <w:lang w:val="zh-CN" w:bidi="zh-CN"/>
        </w:rPr>
      </w:pPr>
      <w:r w:rsidRPr="00CD510F">
        <w:rPr>
          <w:rFonts w:ascii="仿宋" w:eastAsia="仿宋" w:hAnsi="仿宋" w:cs="仿宋" w:hint="eastAsia"/>
          <w:kern w:val="0"/>
          <w:sz w:val="32"/>
          <w:lang w:val="zh-CN" w:bidi="zh-CN"/>
        </w:rPr>
        <w:t>4.掌握一门外语的实际应用。</w:t>
      </w:r>
    </w:p>
    <w:p w:rsidR="00CD510F" w:rsidRPr="00CD510F" w:rsidRDefault="00CD510F" w:rsidP="00CD510F">
      <w:pPr>
        <w:widowControl/>
        <w:spacing w:line="360" w:lineRule="auto"/>
        <w:textAlignment w:val="baseline"/>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二．基本条件</w:t>
      </w:r>
      <w:bookmarkStart w:id="1" w:name="_Hlk97923740"/>
    </w:p>
    <w:p w:rsidR="00CD510F" w:rsidRPr="00CD510F" w:rsidRDefault="00CD510F" w:rsidP="00CD510F">
      <w:pPr>
        <w:widowControl/>
        <w:spacing w:line="360" w:lineRule="auto"/>
        <w:textAlignment w:val="baseline"/>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（一）培养方向</w:t>
      </w:r>
    </w:p>
    <w:bookmarkEnd w:id="1"/>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lastRenderedPageBreak/>
        <w:t>在学科方向方面，继续调整学科架构，凝练学科方向，重点发展人工智能算法、商业数据挖掘与推荐算法、社会经济数据分析与抽样调查和网络与复杂数据分析等4个各具特色，相对稳定、互相支撑的学科方向，在此基础上着力开拓一批特色鲜明、潜力巨大、适应社会发展需要的统计研究领域，为研究生教育培养提供厚实的学科基础。</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（二）师资队伍</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本学科已经拥有从本科到博士后完整的人才培养体系。</w:t>
      </w:r>
      <w:bookmarkStart w:id="2" w:name="_Hlk81128006"/>
      <w:r w:rsidRPr="00CD510F">
        <w:rPr>
          <w:rFonts w:ascii="仿宋" w:eastAsia="仿宋" w:hAnsi="仿宋" w:cs="仿宋" w:hint="eastAsia"/>
          <w:kern w:val="0"/>
          <w:sz w:val="32"/>
          <w:lang w:val="zh-CN" w:bidi="zh-CN"/>
        </w:rPr>
        <w:t>应用统计方向现有教师39人（包括统计学系22人，数学系17人），其中，教授14人、入选国家级青年人才计划支持1人，珠江学者讲座教授1人，国家人事部“有特殊贡献中青年专家”1人，享受政府特殊津贴专家1人，省部级优秀教师3人。</w:t>
      </w:r>
      <w:bookmarkEnd w:id="2"/>
      <w:r w:rsidRPr="00CD510F">
        <w:rPr>
          <w:rFonts w:ascii="仿宋" w:eastAsia="仿宋" w:hAnsi="仿宋" w:cs="仿宋" w:hint="eastAsia"/>
          <w:kern w:val="0"/>
          <w:sz w:val="32"/>
          <w:lang w:val="zh-CN" w:bidi="zh-CN"/>
        </w:rPr>
        <w:t>学科有5个实践教学基地。2019年经济统计获省级一流本科专业、2020年经济统计获国家级一流本科专业。</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（三）科研项目</w:t>
      </w:r>
    </w:p>
    <w:p w:rsidR="00CD510F" w:rsidRPr="00CD510F" w:rsidRDefault="00CD510F" w:rsidP="00CD510F">
      <w:pPr>
        <w:autoSpaceDE w:val="0"/>
        <w:autoSpaceDN w:val="0"/>
        <w:adjustRightInd w:val="0"/>
        <w:snapToGrid w:val="0"/>
        <w:spacing w:line="50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近2年获批获批国家级和省部级项目近20项，累计纵向项目经费近500万，横向项目10项，累计项目经费约180万。</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（四）教学科研条件</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我校图书馆总面积38180平方米，文献资源内容丰富，种类齐全，结构合理，现有各类印刷型文献260多万册，文献购置量逐年大幅度增加，年均增加印刷型书刊约10万册。近年来，图书馆购买了大量数据库及电子书刊资源，现有中外文数据库167个，中外文电子图书193万多种，电子期刊38000种。校本部图书馆与各分校区图书馆统筹规划，各有侧重，形成了共建、共知、共享的文献资源保障体系。常用电子数据库有：CNKI中国知网、超星数字图书馆、维普期刊数据库、EBSCO、Elsevier-SDOL、Wiley Blackwell、 Web of Science平台、SciFinder Scholar、ESI、Science Online。</w:t>
      </w:r>
      <w:r w:rsidRPr="00CD510F">
        <w:rPr>
          <w:rFonts w:ascii="仿宋" w:eastAsia="仿宋" w:hAnsi="仿宋" w:cs="仿宋" w:hint="eastAsia"/>
          <w:kern w:val="0"/>
          <w:sz w:val="32"/>
          <w:lang w:val="zh-CN" w:bidi="zh-CN"/>
        </w:rPr>
        <w:lastRenderedPageBreak/>
        <w:t>研究生可以便捷地浏览学习相关书籍、期刊和有关电子数据库。</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本授权点所在院系拥有充足的教学和实验设施，能够充分满足日常研究生教学需要。经济学院（中惠楼）209和210房和整个7楼都是国家级经济管理类实验教学示范中心，配备了高性能的计算机和服务器。</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（五）奖助体系</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2013年开始，我校实施卓越导师计划和菁英学子计划，有针对性地资助科研能力突出的导师和研究生开展高水平科学研究。另外，本授权点拥有校、院、系三级多层次的研究生奖助学金体系，能够涵盖80%以上的研究生。</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（六）教改经费</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本授权点教师多人次获校级十佳教师荣誉称号，出版教材1部，获批省级教改项目2项，校级教改项目近10项、校级精品课程2门，校级教学成果奖一等奖1项，指导学生参加统计建模大赛荣获全国一等奖1项，指导学生参加数据挖掘大赛获全国一、二、三等奖达60人次。</w:t>
      </w:r>
    </w:p>
    <w:p w:rsidR="00CD510F" w:rsidRPr="00CD510F" w:rsidRDefault="00CD510F" w:rsidP="00CD510F">
      <w:pPr>
        <w:widowControl/>
        <w:spacing w:beforeLines="50" w:before="156" w:line="360" w:lineRule="auto"/>
        <w:textAlignment w:val="baseline"/>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三、人才培养</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（一）招生选拔</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2021年，研究生报考人数为近600人，实际录取为68人，录取比例约为10.0%，其中不乏“双一流”高校学生报考本学科的研究生，说明本授权点一直受到广大学子的青睐。</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（二）党建和思想政治教育</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本学科设有专职书记和研究生辅导员各一名，各年级成立党支部，由一名党员教师任书记，组织党员学生定期进行思想政治，理想信念和社会主义核心价值观学习。具体做法为：</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我校统计学科全面贯彻习近平总书记关于党的建设的重要思想及视察广东和暨南大学重要讲话精神，强化党委全面领导，围绕立德树人根本任务，聚焦“三全育人”综合改革目标，统筹推进课程思政改革，努力提升思政教育水平。坚持“分类培养、分流教学、同相融合”侨校特色育人模式，坚持师生共促成长，以“红色基因·学生党员先锋培育计划”“我要创新,我要竞赛”和“优秀港澳台侨学生学业精进砥砺前行培养工程”等特色思政品牌为载体的一体化育人平台，把思想政治教育融入统计专业人才培养全过程。</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构筑协同育人模式，课程思政“有劲头”。根据统计学科特点，以培养学生数据驱动、统计诚信、服务社会的职业素养为目标，深入挖掘每门课程蕴含的思政教育内容和元素，融入思政基因。充分发挥实践课堂育人功能，依托“广东千村调查”“‘百企千人’港澳青年学生实习计划”等实践育人品牌，为学生创造充分认识社会、研究社会的机会，突出培养学生的爱国情怀和文化认同感，让学生参与课堂学习“有兴趣”、教师开展课程思政“有劲头”。</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擦亮学科金字招牌，实现育人“全方位”。突出侨校特色，培养“有家国情怀、有过硬本领、有国际视野”的优秀统计人才。把握内地生、港澳台侨生和留学生特点，丰富德智体美劳全面发展的“五育并举”育人实践。实施“信仰启航”“先锋示范”和“卓越领航”三大工程，开展“学生党员先锋班”、“优秀学子5A 奖励计划”和“学生创新实践训练营”，培养又红又专的优秀学科人才。推进“优秀港澳台侨学生学业精进砥砺前行培养工程”，组建“港澳台侨学生国情社情考察团”，引导港澳台侨学生增强“四个认同”。落实“思政第一课”，推进朋辈分享工作站，搭建以“数据科学”为龙头的创新创业平台，大力营造“至臻学业，多元共融”文化氛围，实现立体化育人格局。</w:t>
      </w:r>
    </w:p>
    <w:p w:rsidR="00CD510F" w:rsidRPr="00CD510F" w:rsidRDefault="00CD510F" w:rsidP="00CD510F">
      <w:pPr>
        <w:autoSpaceDE w:val="0"/>
        <w:autoSpaceDN w:val="0"/>
        <w:adjustRightInd w:val="0"/>
        <w:snapToGrid w:val="0"/>
        <w:spacing w:line="480" w:lineRule="exact"/>
        <w:ind w:firstLineChars="200" w:firstLine="640"/>
        <w:jc w:val="left"/>
        <w:rPr>
          <w:rFonts w:ascii="仿宋" w:eastAsia="仿宋" w:hAnsi="仿宋" w:cs="仿宋"/>
          <w:kern w:val="0"/>
          <w:sz w:val="32"/>
          <w:lang w:val="zh-CN" w:bidi="zh-CN"/>
        </w:rPr>
      </w:pPr>
      <w:r w:rsidRPr="00CD510F">
        <w:rPr>
          <w:rFonts w:ascii="仿宋" w:eastAsia="仿宋" w:hAnsi="仿宋" w:cs="仿宋" w:hint="eastAsia"/>
          <w:kern w:val="0"/>
          <w:sz w:val="32"/>
          <w:lang w:val="zh-CN" w:bidi="zh-CN"/>
        </w:rPr>
        <w:t>强化党委全面领导，建强改革“桥头堡”。强化思政工作体制机制，创新打造“名师下午茶”“统计校友会”等品牌项目，由“点”到“线”、聚“面”成“体”，构建党委统一领导、党政齐抓共管、教学管理服务多部门联动、师生员工和家长校友共同参与的全员育人体系，构建“院系-班级-宿舍”三级预警和应急处置体系，筑牢意识形态阵地防线。</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（三）课程与教材</w:t>
      </w:r>
    </w:p>
    <w:p w:rsidR="00CD510F" w:rsidRPr="00CD510F" w:rsidRDefault="00CD510F" w:rsidP="00CD510F">
      <w:pPr>
        <w:wordWrap w:val="0"/>
        <w:autoSpaceDE w:val="0"/>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 xml:space="preserve"> 课程建设与实施情况</w:t>
      </w:r>
    </w:p>
    <w:p w:rsidR="00CD510F" w:rsidRPr="00CD510F" w:rsidRDefault="00CD510F" w:rsidP="00CD510F">
      <w:pPr>
        <w:wordWrap w:val="0"/>
        <w:autoSpaceDE w:val="0"/>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 xml:space="preserve">根据培养目标和发展定位要求，设置课程进行课程建设，具体如下： </w:t>
      </w:r>
    </w:p>
    <w:p w:rsidR="00CD510F" w:rsidRPr="00CD510F" w:rsidRDefault="00CD510F" w:rsidP="00CD510F">
      <w:pPr>
        <w:wordWrap w:val="0"/>
        <w:autoSpaceDE w:val="0"/>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1.开设核心课程和主讲教师情况。本授权点教授学生统计理论研究和实践应用所需的专业知识、研究方法和研究工具为目标，按照研究生培养方案要求，结合未来统计专业前沿发展趋势和就业需要进行具体的课程设置。其中，专业学位课（即必修课）和专业限选课注重学生统计基础理论体系的培养，故不分具体方向；专业非学位课（即选修课）考虑到本授权点的学科方向、研究领域及国外统计前沿趋势而设置，注重发挥任课教师的研究特长，充分体现本学科的优势和特色，供学生根据兴趣和需要自主选择。本授权点根据不同课程的具体要求遴选恰当的主讲教师，并要求教师按照上述培养目标和要求，选用国内外经典教材，按照规范编写课程教学大纲和课件，提前发给学生。</w:t>
      </w:r>
    </w:p>
    <w:p w:rsidR="00CD510F" w:rsidRPr="00CD510F" w:rsidRDefault="00CD510F" w:rsidP="00CD510F">
      <w:pPr>
        <w:wordWrap w:val="0"/>
        <w:autoSpaceDE w:val="0"/>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近5年，共获批省级和校级教学改革项目10多项，比如：①《“互联网+教育”新型教学模式在统计学课程&lt;数理统计&gt;教学中的研究与实践》；②《非参数统计与机器学习---基于Python的案例分析》；</w:t>
      </w:r>
      <w:r w:rsidRPr="00CD510F">
        <w:rPr>
          <w:rFonts w:ascii="仿宋" w:eastAsia="仿宋" w:hAnsi="仿宋" w:cs="仿宋" w:hint="eastAsia"/>
          <w:kern w:val="0"/>
          <w:sz w:val="32"/>
          <w:lang w:val="zh-CN" w:bidi="zh-CN"/>
        </w:rPr>
        <w:fldChar w:fldCharType="begin"/>
      </w:r>
      <w:r w:rsidRPr="00CD510F">
        <w:rPr>
          <w:rFonts w:ascii="仿宋" w:eastAsia="仿宋" w:hAnsi="仿宋" w:cs="仿宋" w:hint="eastAsia"/>
          <w:kern w:val="0"/>
          <w:sz w:val="32"/>
          <w:lang w:val="zh-CN" w:bidi="zh-CN"/>
        </w:rPr>
        <w:instrText xml:space="preserve"> = 3 \* GB3 </w:instrText>
      </w:r>
      <w:r w:rsidRPr="00CD510F">
        <w:rPr>
          <w:rFonts w:ascii="仿宋" w:eastAsia="仿宋" w:hAnsi="仿宋" w:cs="仿宋" w:hint="eastAsia"/>
          <w:kern w:val="0"/>
          <w:sz w:val="32"/>
          <w:lang w:val="zh-CN" w:bidi="zh-CN"/>
        </w:rPr>
        <w:fldChar w:fldCharType="separate"/>
      </w:r>
      <w:r w:rsidRPr="00CD510F">
        <w:rPr>
          <w:rFonts w:ascii="仿宋" w:eastAsia="仿宋" w:hAnsi="仿宋" w:cs="仿宋" w:hint="eastAsia"/>
          <w:kern w:val="0"/>
          <w:sz w:val="32"/>
          <w:lang w:val="zh-CN" w:bidi="zh-CN"/>
        </w:rPr>
        <w:t>③</w:t>
      </w:r>
      <w:r w:rsidRPr="00CD510F">
        <w:rPr>
          <w:rFonts w:ascii="仿宋" w:eastAsia="仿宋" w:hAnsi="仿宋" w:cs="仿宋" w:hint="eastAsia"/>
          <w:kern w:val="0"/>
          <w:sz w:val="32"/>
          <w:lang w:val="zh-CN" w:bidi="zh-CN"/>
        </w:rPr>
        <w:fldChar w:fldCharType="end"/>
      </w:r>
      <w:r w:rsidRPr="00CD510F">
        <w:rPr>
          <w:rFonts w:ascii="仿宋" w:eastAsia="仿宋" w:hAnsi="仿宋" w:cs="仿宋" w:hint="eastAsia"/>
          <w:kern w:val="0"/>
          <w:sz w:val="32"/>
          <w:lang w:val="zh-CN" w:bidi="zh-CN"/>
        </w:rPr>
        <w:t>《基于创新协作能力培养的“统计调查”课程实践调研教学改革研究》等，其中，《“互联网+教育”新型教学模式在统计学课程&lt;数理统计&gt;教学中的研究与实践》获批省级教改项目立项。共出版4部专著（含教材）：①《我国政府统计调查发展与改革》，人民出版社，2018；②《统计学原理》，暨南大学出版社（第八版），2018；③《改革和完善我国经常性抽样调查体系研》，暨南大学出版社，2019；④《贝叶斯统计》，中山大学出版社，2020。</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（四）学术训练</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1.制度保证。本授权点积极动员、鼓励和资助研究生导师指导研究生参加各类学术竞赛和科研活动，并在研究生评奖等方面着重考虑研究生学术训练情况，目前已取得显著成效。</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2.经费支持。在校院资助学生参与学术训练项目的基本上，本授权点还专门拨出经费鼓励学生参与统计建模、案例大赛、全国市场调查大赛等学术活动。</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3.学生学术获奖情况。近5年，已有多支队伍获得全国研究生数学建模竞赛、全国研究生统计建模大赛、泰迪杯数据分析大赛、全国应用统计专业学位研究生案例大赛和全国市场调查大赛特等奖、一等、二等和三等奖。</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4.在校外实习与社会服务方面，积极与政府统计部门、金融机构、市场调查公司、从事大数据开发的互联网公司和其它政府、企事业单位开展教学和科研合作，选聘有较强的统计业务能力、负责任的校外实践导师，重点建设一批校外实践基地，为研究生校外实践、实习提供多样化的充足保障。通过实践基地的建设和邀请校外导师、国内外知名教授、业界知名专家来校讲学或开设短期课程等方式，拓展学生国际视野以及增强学生对专业前沿问题的掌握和理解。</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p>
    <w:p w:rsidR="00CD510F" w:rsidRPr="00CD510F" w:rsidRDefault="00CD510F" w:rsidP="00CD510F">
      <w:pPr>
        <w:topLinePunct/>
        <w:autoSpaceDN w:val="0"/>
        <w:adjustRightInd w:val="0"/>
        <w:snapToGrid w:val="0"/>
        <w:spacing w:line="480" w:lineRule="exact"/>
        <w:ind w:firstLineChars="200" w:firstLine="643"/>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（五）学术交流</w:t>
      </w:r>
    </w:p>
    <w:p w:rsidR="00CD510F" w:rsidRPr="00CD510F" w:rsidRDefault="00CD510F" w:rsidP="00CD510F">
      <w:pPr>
        <w:topLinePunct/>
        <w:autoSpaceDN w:val="0"/>
        <w:adjustRightInd w:val="0"/>
        <w:snapToGrid w:val="0"/>
        <w:spacing w:line="50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本授权点积极鼓励学生参与“泰迪杯”数据挖掘挑战赛、数据分析大赛、全国大学生统计建模大赛、应用统计案例大赛等各级竞赛50余人次，获得国际、国家、省部级和成功参赛奖励近20余项，在2021年取得了辉煌的成就获国奖1人次、参加统计建模、泰迪杯等获得全国一等奖、二等奖近50人次。</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（六）学风建设</w:t>
      </w:r>
    </w:p>
    <w:p w:rsidR="00CD510F" w:rsidRPr="00CD510F" w:rsidRDefault="00CD510F" w:rsidP="00CD510F">
      <w:pPr>
        <w:topLinePunct/>
        <w:autoSpaceDN w:val="0"/>
        <w:adjustRightInd w:val="0"/>
        <w:snapToGrid w:val="0"/>
        <w:spacing w:line="50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我校已制定关于研究生学位论文学术不端行为预防及处理暂行办法，通过开展科学道德和学术规范方面的会议、讲座进行教育，并在研究生培养体制机制上进行完善，通过毕业论文开题、中期检查、毕业论文预审查、多次论文查重和论文抽查等方式确保研究生论文质量，及时避免学术不端行为出现。</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（七）培养成效</w:t>
      </w:r>
    </w:p>
    <w:p w:rsidR="00CD510F" w:rsidRPr="00CD510F" w:rsidRDefault="00CD510F" w:rsidP="00CD510F">
      <w:pPr>
        <w:topLinePunct/>
        <w:autoSpaceDN w:val="0"/>
        <w:adjustRightInd w:val="0"/>
        <w:snapToGrid w:val="0"/>
        <w:spacing w:line="50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获国家奖学金1人次，优秀校级学位论文近5人次，参加竞赛获国家级奖项近50人次；与华为、腾讯、中国移动等知名企业签约近20人次，数名毕业生自主创业，取得较大的社会影响力。</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（八）就业发展</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本学科研究生就业坚持以市场为导向，充分发挥市场在人才配置中的基础性作用，基于地缘优势，优先选择广州、深圳等地就业；同时响应党和国家号召，积极引导和鼓励本学科毕业生面向艰苦地区和基层就业，努力服务当地经济与社会发展。近年来，多名毕业生选择到西部地区和基层单位就业，他们结合统计专业特点，充分发挥专业优势，为西部和艰苦地区的经济社会发展做出了重要贡献。</w:t>
      </w:r>
    </w:p>
    <w:p w:rsidR="00CD510F" w:rsidRPr="00CD510F" w:rsidRDefault="00CD510F" w:rsidP="00CD510F">
      <w:pPr>
        <w:widowControl/>
        <w:spacing w:beforeLines="50" w:before="156" w:line="360" w:lineRule="auto"/>
        <w:textAlignment w:val="baseline"/>
        <w:rPr>
          <w:rFonts w:ascii="仿宋" w:eastAsia="仿宋" w:hAnsi="仿宋" w:cs="仿宋"/>
          <w:b/>
          <w:bCs/>
          <w:kern w:val="0"/>
          <w:sz w:val="32"/>
          <w:lang w:val="zh-CN" w:bidi="zh-CN"/>
        </w:rPr>
      </w:pPr>
    </w:p>
    <w:p w:rsidR="00CD510F" w:rsidRPr="00CD510F" w:rsidRDefault="00CD510F" w:rsidP="00CD510F">
      <w:pPr>
        <w:widowControl/>
        <w:spacing w:beforeLines="50" w:before="156" w:line="360" w:lineRule="auto"/>
        <w:textAlignment w:val="baseline"/>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四、服务贡献</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（一）科研成果转化</w:t>
      </w:r>
    </w:p>
    <w:p w:rsidR="00CD510F" w:rsidRPr="00CD510F" w:rsidRDefault="00CD510F" w:rsidP="00CD510F">
      <w:pPr>
        <w:topLinePunct/>
        <w:autoSpaceDN w:val="0"/>
        <w:adjustRightInd w:val="0"/>
        <w:snapToGrid w:val="0"/>
        <w:spacing w:line="44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 xml:space="preserve"> 近2年横向项目10项，累计项目经费约180万。</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（二）服务国家和地方经济建设</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充分发挥统计在各领域的应用优势，积极打造多支教学科研实践服务团队，通过提供智库建议、课题研究等方式，多渠道地展开人才培养和社会服务，取得显著成效。</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1.成立特色鲜明、优势协同的社会服务科研团队，为地方经济社会发展贡献智慧力量</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如杨广仁领衔的税收和港口大数据研究团队；柳向东领衔的金融统计与分析团队；陈光慧领衔的统计调查和数字经济研究团队；桂文林领衔的统计指数和数量经济研究团队；伍业锋领衔的海洋经济分析和统计指标体系研究团队等。在承担教学和学术科研任务的同时，积极为各界提供技术咨询服务，近两年年均项目合同经费近90万元。</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2.积极参加各级学会、智库机构和智囊团队，为国家统计事业和地方经济社会发展献言献策</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如雷钦礼受聘为广东省政府参事，积极献言献策。杨广仁作为民进暨大总支委员、广东省民进科工委委员，其提案受到省政府办公厅重点督办及获民进广东省委奖励。部分教师如杨广仁、柳向东、陈光慧、伍业锋等2020年被省统计局聘为“广东省百名统计学家”。杨广仁、陈光慧等多位教师兼任中国统计学会、广东省统计学会、广东现场统计学会等各级学会的副会长、秘书长、理事等职位，为统计学科、统计事业和地方经济社会发展贡献智慧力量。</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（三）服务社会发展</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雷钦礼续聘为广东省政府参事，其《关于建立居民生活成本地区平价指数的建议》被省政府采纳，《关于广州学习深圳加快创新驱动发展的建议》获省领导批示。杨广仁《关于推进我省工业互联网应用的提案》受省府办公厅重点督办；《关于提高停车位资源利用率缓解城市停车难的提案》获民进广东省委2019年度优秀提案二等奖；其团队于2021年3月参加国家统计局广东调查总队课题研究，报告《滚动价格调查法在中国的应用研究——基于 ICP2017 年轮广东数据的验算》获国家统计局肯定；伍业锋团队《广东卷烟市场调查研究报告2020》、《广东电子烟市场调查研究报告2020》获广东烟草学会汇编上报和中国烟草学会好评。李文星《广东工业增速变化的原因分析及对策建议》获省发改委采用。</w:t>
      </w:r>
    </w:p>
    <w:p w:rsidR="00CD510F" w:rsidRPr="00CD510F" w:rsidRDefault="00CD510F" w:rsidP="00CD510F">
      <w:pPr>
        <w:widowControl/>
        <w:spacing w:beforeLines="50" w:before="156" w:line="360" w:lineRule="auto"/>
        <w:textAlignment w:val="baseline"/>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五、存在的问题</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（一）《学位授权审核申请基本条件》</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严格按照学位授权审核条件，核对学生学分和学术论文情况。本授权点一直重视学位论文质量，注重统计理论联系实际，解决现实社会经济问题，同时又具备一定的创新性；研究生管理部门和导师组通过论文开题、查重、预审查、预答辩、外审和正式答辩等途径和环节严格把关论文写作规范。按照校院两级学术督导委员会的要求，每年预审查毕业论文比例为100%，盲审比例为20%，随机抽查已通过评阅及答辩的论文比例达40%。目前，未发现论文抄袭等违反学术道德的现象。</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（二）上年度问题整改情况</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通过学校，学院和本授权点三方共同努力，对上一年的问题通过制定相关政策、落实问题处理，已很好解决了上一年度大部分问题。如建立校外导师制，和严格规范研究生实习等相关文件。但是对于师资引进，还存在一定的缺口尚未解决。</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（三）分流淘汰</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我校已制定了研究生转专业暂行办法，对不合格学生进行分流淘汰。目前，本授权点还没有学生被分流淘汰。</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（四）导师培训</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加强师德师风资格审查和培训，把导师是否有科研课题和课题经费数作为导师上岗的基本条件。定期开展专题讲座、教研活动等对导师进行职业素养和业务素质的培训。</w:t>
      </w:r>
    </w:p>
    <w:p w:rsidR="00CD510F" w:rsidRPr="00CD510F" w:rsidRDefault="00CD510F" w:rsidP="00CD510F">
      <w:pPr>
        <w:keepNext/>
        <w:keepLines/>
        <w:spacing w:line="360" w:lineRule="auto"/>
        <w:outlineLvl w:val="1"/>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（五）立德树人</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本学科在校院党委领导下，将习近平新时代中国特色社会主义思想，特别是</w:t>
      </w:r>
      <w:r w:rsidRPr="00CD510F">
        <w:rPr>
          <w:rFonts w:ascii="仿宋" w:eastAsia="仿宋" w:hAnsi="仿宋" w:cs="仿宋" w:hint="eastAsia"/>
          <w:kern w:val="0"/>
          <w:sz w:val="32"/>
          <w:szCs w:val="32"/>
          <w:lang w:val="zh-CN" w:bidi="zh-CN"/>
        </w:rPr>
        <w:t>习近平</w:t>
      </w:r>
      <w:r w:rsidRPr="00CD510F">
        <w:rPr>
          <w:rFonts w:ascii="仿宋" w:eastAsia="仿宋" w:hAnsi="仿宋" w:cs="仿宋" w:hint="eastAsia"/>
          <w:kern w:val="0"/>
          <w:sz w:val="32"/>
          <w:lang w:val="zh-CN" w:bidi="zh-CN"/>
        </w:rPr>
        <w:t>总书记关于</w:t>
      </w:r>
      <w:r w:rsidRPr="00CD510F">
        <w:rPr>
          <w:rFonts w:ascii="仿宋" w:eastAsia="仿宋" w:hAnsi="仿宋" w:cs="仿宋"/>
          <w:kern w:val="0"/>
          <w:sz w:val="32"/>
          <w:szCs w:val="32"/>
          <w:lang w:val="zh-CN" w:bidi="zh-CN"/>
        </w:rPr>
        <w:t>党的建设的重要思想</w:t>
      </w:r>
      <w:r w:rsidRPr="00CD510F">
        <w:rPr>
          <w:rFonts w:ascii="仿宋" w:eastAsia="仿宋" w:hAnsi="仿宋" w:cs="仿宋" w:hint="eastAsia"/>
          <w:kern w:val="0"/>
          <w:sz w:val="32"/>
          <w:lang w:val="zh-CN" w:bidi="zh-CN"/>
        </w:rPr>
        <w:t>和视察暨南大学重要讲话精神，作为立师德、铸师魂的思想之源、理论之基，引领广大教师筑牢信仰之基、补足精神之钙，坚守教育报国初心、勇担立德树人使命，打造了一支素质优良、甘于奉献的教师队伍。</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1.坚持师德师风第一标准，建立全领域师德师风制度规范，实现教师职业发展全环节师德师风一票否决。建立和完善师德师风建设规章制度体系，发布师德考核实施办法、师德“一票否决”实施细则、教师职业道德规范（中英文）等制度，形成一套涵盖师德建设、师德考核与激励、师德示范监督与惩处等全领域制度规范，将师德师风作为评价第一标准贯穿于人才引进、职称评聘、岗位聘用、导师遴选、评优奖励和人才推荐等教师职业发展全过程，实施师德师风一票否决制。</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2.加强教师党支部建设，打造坚强有力的战斗堡垒。制定抓教师党支部组织力建设实施方案、校院领导联系教师党支部、院系领导“思政第一课”等制度，强化党支部标准化、规范化建设；定期召开教师党支部书记工作例会，开展师德师风建设工作研判、交流，提升工作水平；以创建和培育国家级、省级和校级“双带头人”教师党支部书记工作室为重要抓手，发挥“双带头人”党支部书记示范引领作用，强化教师党支部政治功能，引导教师党员在工作中亮身份、立标尺、发挥模范带头作用。</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3.坚持守正传承，营造涵养高尚师德的文化氛围。参与编印《暨南商科百年》，厚植家国情怀，书写奋进之笔；开展“不忘初心、传承力量”学习践行活动，向离退休优秀教师汲取精神力量；参与推出“立德树人——学生眼中的老师”“暨南经院学人系列”“暨南经院名师系列”“暨南经院院长系列”等文章70 余篇，总点击量超过10 万人次，发挥师德榜样力量；每年颁发“经济学院特殊贡献奖”表彰从教30 周年的教师，设立“东莞瀚森奖教奖助学金”“计统88 奖学金”鼓励师生争先创优，增强教师职业认同感、幸福感和成就感。</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4.抓早抓小、防微杜渐。定期召开会议研判教师队伍动态，及时处置苗头性、倾向性问题</w:t>
      </w:r>
    </w:p>
    <w:p w:rsidR="00CD510F" w:rsidRPr="00CD510F" w:rsidRDefault="00CD510F" w:rsidP="00CD510F">
      <w:pPr>
        <w:widowControl/>
        <w:spacing w:beforeLines="50" w:before="156" w:line="360" w:lineRule="auto"/>
        <w:textAlignment w:val="baseline"/>
        <w:rPr>
          <w:rFonts w:ascii="仿宋" w:eastAsia="仿宋" w:hAnsi="仿宋" w:cs="仿宋"/>
          <w:b/>
          <w:bCs/>
          <w:kern w:val="0"/>
          <w:sz w:val="32"/>
          <w:lang w:val="zh-CN" w:bidi="zh-CN"/>
        </w:rPr>
      </w:pPr>
      <w:r w:rsidRPr="00CD510F">
        <w:rPr>
          <w:rFonts w:ascii="仿宋" w:eastAsia="仿宋" w:hAnsi="仿宋" w:cs="仿宋" w:hint="eastAsia"/>
          <w:b/>
          <w:bCs/>
          <w:kern w:val="0"/>
          <w:sz w:val="32"/>
          <w:lang w:val="zh-CN" w:bidi="zh-CN"/>
        </w:rPr>
        <w:t>六、下一年建设计划</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1.希望学校按照国家“双一流”建设中一流学科的分类目录，对统计学一级学科的建设加以规划和支持，支持统计学科多引进海内外知名学者或博士生。希望学校在现有的经济统计学本科专业基础上，申办“数据科学与大数据技术”专业，统筹相关资源。</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CD510F" w:rsidRPr="00CD510F" w:rsidRDefault="00CD510F" w:rsidP="00CD510F">
      <w:pPr>
        <w:topLinePunct/>
        <w:autoSpaceDN w:val="0"/>
        <w:adjustRightInd w:val="0"/>
        <w:snapToGrid w:val="0"/>
        <w:spacing w:line="480" w:lineRule="exact"/>
        <w:ind w:firstLineChars="200" w:firstLine="640"/>
        <w:rPr>
          <w:rFonts w:ascii="仿宋" w:eastAsia="仿宋" w:hAnsi="仿宋" w:cs="仿宋"/>
          <w:kern w:val="0"/>
          <w:sz w:val="32"/>
          <w:lang w:val="zh-CN" w:bidi="zh-CN"/>
        </w:rPr>
      </w:pPr>
      <w:r w:rsidRPr="00CD510F">
        <w:rPr>
          <w:rFonts w:ascii="仿宋" w:eastAsia="仿宋" w:hAnsi="仿宋" w:cs="仿宋" w:hint="eastAsia"/>
          <w:kern w:val="0"/>
          <w:sz w:val="32"/>
          <w:lang w:val="zh-CN" w:bidi="zh-CN"/>
        </w:rPr>
        <w:t>3.已经向学校递交10位涵盖广东省统计局、广东省全国调查总队及业界的校外指导导师申请，以后定期的邀请校外导师及业界人士来校讲学。</w:t>
      </w:r>
    </w:p>
    <w:p w:rsidR="00CD510F" w:rsidRPr="00CD510F" w:rsidRDefault="00CD510F" w:rsidP="00CD510F">
      <w:pPr>
        <w:topLinePunct/>
        <w:autoSpaceDN w:val="0"/>
        <w:adjustRightInd w:val="0"/>
        <w:snapToGrid w:val="0"/>
        <w:spacing w:line="480" w:lineRule="exact"/>
        <w:ind w:firstLineChars="200" w:firstLine="640"/>
        <w:rPr>
          <w:rFonts w:ascii="宋体" w:eastAsia="宋体" w:hAnsi="宋体" w:cs="宋体"/>
          <w:kern w:val="0"/>
          <w:sz w:val="24"/>
          <w:szCs w:val="24"/>
        </w:rPr>
      </w:pPr>
      <w:r w:rsidRPr="00CD510F">
        <w:rPr>
          <w:rFonts w:ascii="仿宋" w:eastAsia="仿宋" w:hAnsi="仿宋" w:cs="仿宋" w:hint="eastAsia"/>
          <w:kern w:val="0"/>
          <w:sz w:val="32"/>
          <w:lang w:val="zh-CN" w:bidi="zh-CN"/>
        </w:rPr>
        <w:t>4.正在制定相关政策解决这一问题。</w:t>
      </w:r>
    </w:p>
    <w:p w:rsidR="002A0C0D" w:rsidRPr="00CD510F" w:rsidRDefault="002A0C0D"/>
    <w:sectPr w:rsidR="002A0C0D" w:rsidRPr="00CD51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5AD" w:rsidRDefault="00DF05AD">
      <w:r>
        <w:separator/>
      </w:r>
    </w:p>
  </w:endnote>
  <w:endnote w:type="continuationSeparator" w:id="0">
    <w:p w:rsidR="00DF05AD" w:rsidRDefault="00DF0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微软雅黑"/>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CD510F">
    <w:pPr>
      <w:pStyle w:val="1"/>
      <w:widowControl/>
      <w:textAlignment w:val="baseline"/>
      <w:rPr>
        <w:rStyle w:val="NormalCharacter"/>
        <w:rFonts w:ascii="Times New Roman" w:eastAsia="宋体" w:hAnsi="Times New Roman"/>
      </w:rPr>
    </w:pPr>
    <w:r>
      <w:rPr>
        <w:rStyle w:val="NormalCharacter"/>
        <w:rFonts w:ascii="Times New Roman" w:eastAsia="宋体" w:hAnsi="Times New Roman"/>
        <w:noProof/>
      </w:rPr>
      <mc:AlternateContent>
        <mc:Choice Requires="wps">
          <w:drawing>
            <wp:anchor distT="0" distB="0" distL="114300" distR="114300" simplePos="0" relativeHeight="251659264" behindDoc="0" locked="0" layoutInCell="1" allowOverlap="1" wp14:anchorId="5DD21986" wp14:editId="602A0B62">
              <wp:simplePos x="0" y="0"/>
              <wp:positionH relativeFrom="margin">
                <wp:align>center</wp:align>
              </wp:positionH>
              <wp:positionV relativeFrom="paragraph">
                <wp:posOffset>8255</wp:posOffset>
              </wp:positionV>
              <wp:extent cx="1828800" cy="1828800"/>
              <wp:effectExtent l="0" t="0" r="0" b="0"/>
              <wp:wrapNone/>
              <wp:docPr id="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56200B" w:rsidRDefault="00BC7A5D">
                          <w:pPr>
                            <w:pStyle w:val="1"/>
                            <w:widowControl/>
                            <w:jc w:val="both"/>
                            <w:textAlignment w:val="baseline"/>
                            <w:rPr>
                              <w:rStyle w:val="NormalCharacter"/>
                              <w:rFonts w:ascii="Times New Roman" w:eastAsia="宋体" w:hAnsi="Times New Roman"/>
                              <w:sz w:val="20"/>
                            </w:rPr>
                          </w:pPr>
                        </w:p>
                        <w:p w:rsidR="0056200B" w:rsidRDefault="00BC7A5D">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" filled="f" stroked="f" strokeweight="1.25pt">
              <v:textbox inset="0,0,0,0">
                <w:txbxContent>
                  <w:p w:rsidR="0056200B" w:rsidRDefault="00CD510F">
                    <w:pPr>
                      <w:pStyle w:val="1"/>
                      <w:widowControl/>
                      <w:jc w:val="both"/>
                      <w:textAlignment w:val="baseline"/>
                      <w:rPr>
                        <w:rStyle w:val="NormalCharacter"/>
                        <w:rFonts w:ascii="Times New Roman" w:eastAsia="宋体" w:hAnsi="Times New Roman"/>
                        <w:sz w:val="20"/>
                      </w:rPr>
                    </w:pPr>
                  </w:p>
                  <w:p w:rsidR="0056200B" w:rsidRDefault="00CD510F">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5AD" w:rsidRDefault="00DF05AD">
      <w:r>
        <w:separator/>
      </w:r>
    </w:p>
  </w:footnote>
  <w:footnote w:type="continuationSeparator" w:id="0">
    <w:p w:rsidR="00DF05AD" w:rsidRDefault="00DF05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C49"/>
    <w:rsid w:val="001302D0"/>
    <w:rsid w:val="001774D1"/>
    <w:rsid w:val="002A0C0D"/>
    <w:rsid w:val="00420C2F"/>
    <w:rsid w:val="004E4EA5"/>
    <w:rsid w:val="005D18AF"/>
    <w:rsid w:val="00625F0A"/>
    <w:rsid w:val="006601AB"/>
    <w:rsid w:val="00704C49"/>
    <w:rsid w:val="007A6993"/>
    <w:rsid w:val="00885ACD"/>
    <w:rsid w:val="00BC7A5D"/>
    <w:rsid w:val="00CD510F"/>
    <w:rsid w:val="00DF05AD"/>
    <w:rsid w:val="00E64017"/>
    <w:rsid w:val="00E83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脚1"/>
    <w:basedOn w:val="a"/>
    <w:next w:val="a3"/>
    <w:link w:val="Char"/>
    <w:qFormat/>
    <w:rsid w:val="00CD510F"/>
    <w:pPr>
      <w:tabs>
        <w:tab w:val="center" w:pos="4153"/>
        <w:tab w:val="right" w:pos="8306"/>
      </w:tabs>
      <w:snapToGrid w:val="0"/>
      <w:jc w:val="left"/>
    </w:pPr>
    <w:rPr>
      <w:rFonts w:ascii="Calibri" w:eastAsia="方正仿宋简体" w:hAnsi="Calibri" w:cs="Times New Roman"/>
      <w:sz w:val="18"/>
      <w:szCs w:val="18"/>
      <w:lang w:eastAsia="en-US"/>
    </w:rPr>
  </w:style>
  <w:style w:type="character" w:customStyle="1" w:styleId="Char">
    <w:name w:val="页脚 Char"/>
    <w:basedOn w:val="a0"/>
    <w:link w:val="1"/>
    <w:qFormat/>
    <w:rsid w:val="00CD510F"/>
    <w:rPr>
      <w:rFonts w:ascii="Calibri" w:eastAsia="方正仿宋简体" w:hAnsi="Calibri" w:cs="Times New Roman"/>
      <w:sz w:val="18"/>
      <w:szCs w:val="18"/>
      <w:lang w:eastAsia="en-US"/>
    </w:rPr>
  </w:style>
  <w:style w:type="character" w:customStyle="1" w:styleId="NormalCharacter">
    <w:name w:val="NormalCharacter"/>
    <w:semiHidden/>
    <w:qFormat/>
    <w:rsid w:val="00CD510F"/>
    <w:rPr>
      <w:rFonts w:ascii="Calibri" w:eastAsia="方正仿宋简体" w:hAnsi="Calibri" w:cs="Times New Roman"/>
      <w:kern w:val="2"/>
      <w:sz w:val="32"/>
      <w:szCs w:val="24"/>
      <w:lang w:val="en-US" w:eastAsia="zh-CN" w:bidi="ar-SA"/>
    </w:rPr>
  </w:style>
  <w:style w:type="paragraph" w:styleId="a3">
    <w:name w:val="footer"/>
    <w:basedOn w:val="a"/>
    <w:link w:val="Char1"/>
    <w:uiPriority w:val="99"/>
    <w:semiHidden/>
    <w:unhideWhenUsed/>
    <w:rsid w:val="00CD510F"/>
    <w:pPr>
      <w:tabs>
        <w:tab w:val="center" w:pos="4153"/>
        <w:tab w:val="right" w:pos="8306"/>
      </w:tabs>
      <w:snapToGrid w:val="0"/>
      <w:jc w:val="left"/>
    </w:pPr>
    <w:rPr>
      <w:sz w:val="18"/>
      <w:szCs w:val="18"/>
    </w:rPr>
  </w:style>
  <w:style w:type="character" w:customStyle="1" w:styleId="Char1">
    <w:name w:val="页脚 Char1"/>
    <w:basedOn w:val="a0"/>
    <w:link w:val="a3"/>
    <w:uiPriority w:val="99"/>
    <w:semiHidden/>
    <w:rsid w:val="00CD510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脚1"/>
    <w:basedOn w:val="a"/>
    <w:next w:val="a3"/>
    <w:link w:val="Char"/>
    <w:qFormat/>
    <w:rsid w:val="00CD510F"/>
    <w:pPr>
      <w:tabs>
        <w:tab w:val="center" w:pos="4153"/>
        <w:tab w:val="right" w:pos="8306"/>
      </w:tabs>
      <w:snapToGrid w:val="0"/>
      <w:jc w:val="left"/>
    </w:pPr>
    <w:rPr>
      <w:rFonts w:ascii="Calibri" w:eastAsia="方正仿宋简体" w:hAnsi="Calibri" w:cs="Times New Roman"/>
      <w:sz w:val="18"/>
      <w:szCs w:val="18"/>
      <w:lang w:eastAsia="en-US"/>
    </w:rPr>
  </w:style>
  <w:style w:type="character" w:customStyle="1" w:styleId="Char">
    <w:name w:val="页脚 Char"/>
    <w:basedOn w:val="a0"/>
    <w:link w:val="1"/>
    <w:qFormat/>
    <w:rsid w:val="00CD510F"/>
    <w:rPr>
      <w:rFonts w:ascii="Calibri" w:eastAsia="方正仿宋简体" w:hAnsi="Calibri" w:cs="Times New Roman"/>
      <w:sz w:val="18"/>
      <w:szCs w:val="18"/>
      <w:lang w:eastAsia="en-US"/>
    </w:rPr>
  </w:style>
  <w:style w:type="character" w:customStyle="1" w:styleId="NormalCharacter">
    <w:name w:val="NormalCharacter"/>
    <w:semiHidden/>
    <w:qFormat/>
    <w:rsid w:val="00CD510F"/>
    <w:rPr>
      <w:rFonts w:ascii="Calibri" w:eastAsia="方正仿宋简体" w:hAnsi="Calibri" w:cs="Times New Roman"/>
      <w:kern w:val="2"/>
      <w:sz w:val="32"/>
      <w:szCs w:val="24"/>
      <w:lang w:val="en-US" w:eastAsia="zh-CN" w:bidi="ar-SA"/>
    </w:rPr>
  </w:style>
  <w:style w:type="paragraph" w:styleId="a3">
    <w:name w:val="footer"/>
    <w:basedOn w:val="a"/>
    <w:link w:val="Char1"/>
    <w:uiPriority w:val="99"/>
    <w:semiHidden/>
    <w:unhideWhenUsed/>
    <w:rsid w:val="00CD510F"/>
    <w:pPr>
      <w:tabs>
        <w:tab w:val="center" w:pos="4153"/>
        <w:tab w:val="right" w:pos="8306"/>
      </w:tabs>
      <w:snapToGrid w:val="0"/>
      <w:jc w:val="left"/>
    </w:pPr>
    <w:rPr>
      <w:sz w:val="18"/>
      <w:szCs w:val="18"/>
    </w:rPr>
  </w:style>
  <w:style w:type="character" w:customStyle="1" w:styleId="Char1">
    <w:name w:val="页脚 Char1"/>
    <w:basedOn w:val="a0"/>
    <w:link w:val="a3"/>
    <w:uiPriority w:val="99"/>
    <w:semiHidden/>
    <w:rsid w:val="00CD51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94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1079</Words>
  <Characters>6152</Characters>
  <Application>Microsoft Office Word</Application>
  <DocSecurity>0</DocSecurity>
  <Lines>51</Lines>
  <Paragraphs>14</Paragraphs>
  <ScaleCrop>false</ScaleCrop>
  <Company/>
  <LinksUpToDate>false</LinksUpToDate>
  <CharactersWithSpaces>7217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2025-03-12T08:32:00Z</dcterms:created>
  <dcterms:modified xsi:type="dcterms:W3CDTF">2025-03-12T08:32:00Z</dcterms:modified>
</cp:coreProperties>
</file>