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8A5EFC">
      <w:pPr>
        <w:spacing w:line="360" w:lineRule="auto"/>
        <w:ind w:firstLine="360" w:firstLineChars="100"/>
        <w:rPr>
          <w:rFonts w:hint="eastAsia"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rPr>
        <w:t>暨南大学经济学院2027届本科毕业生（内招生）</w:t>
      </w:r>
    </w:p>
    <w:p w14:paraId="4E6AD2E5">
      <w:pPr>
        <w:spacing w:line="360" w:lineRule="auto"/>
        <w:ind w:firstLine="1800" w:firstLineChars="500"/>
        <w:rPr>
          <w:rFonts w:hint="eastAsia"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rPr>
        <w:t>推荐免试攻读研究生工作细则</w:t>
      </w:r>
    </w:p>
    <w:p w14:paraId="732983DD">
      <w:pPr>
        <w:spacing w:line="360" w:lineRule="auto"/>
        <w:ind w:firstLine="2520" w:firstLineChars="700"/>
        <w:rPr>
          <w:rFonts w:hint="eastAsia"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rPr>
        <w:t>（征求意见稿）</w:t>
      </w:r>
    </w:p>
    <w:p w14:paraId="1AB4ABF9">
      <w:pPr>
        <w:ind w:firstLine="720" w:firstLineChars="200"/>
        <w:rPr>
          <w:rFonts w:hint="eastAsia" w:ascii="方正小标宋简体" w:hAnsi="方正小标宋简体" w:eastAsia="方正小标宋简体" w:cs="方正小标宋简体"/>
          <w:bCs/>
          <w:sz w:val="36"/>
          <w:szCs w:val="36"/>
        </w:rPr>
      </w:pPr>
    </w:p>
    <w:p w14:paraId="20363E82">
      <w:pPr>
        <w:widowControl/>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w:t>
      </w:r>
      <w:r>
        <w:rPr>
          <w:rFonts w:ascii="仿宋_GB2312" w:hAnsi="宋体" w:eastAsia="仿宋_GB2312" w:cs="仿宋_GB2312"/>
          <w:color w:val="000000"/>
          <w:kern w:val="0"/>
          <w:sz w:val="31"/>
          <w:szCs w:val="31"/>
          <w:lang w:bidi="ar"/>
        </w:rPr>
        <w:t>《全国普通高等学校推荐优秀应届本科毕</w:t>
      </w:r>
      <w:r>
        <w:rPr>
          <w:rFonts w:hint="eastAsia" w:ascii="仿宋_GB2312" w:hAnsi="宋体" w:eastAsia="仿宋_GB2312" w:cs="仿宋_GB2312"/>
          <w:color w:val="000000"/>
          <w:kern w:val="0"/>
          <w:sz w:val="31"/>
          <w:szCs w:val="31"/>
          <w:lang w:bidi="ar"/>
        </w:rPr>
        <w:t>业生免试攻读硕士学位研究生工作管理办法（试行）》《教育部办公厅关于进一步规范和加强推荐优秀应届本科毕业生免试攻读研究生工作的通知》</w:t>
      </w:r>
      <w:r>
        <w:rPr>
          <w:rFonts w:hint="eastAsia" w:ascii="仿宋_GB2312" w:hAnsi="仿宋_GB2312" w:eastAsia="仿宋_GB2312" w:cs="仿宋_GB2312"/>
          <w:kern w:val="0"/>
          <w:sz w:val="32"/>
          <w:szCs w:val="32"/>
        </w:rPr>
        <w:t>《暨南大学优秀应届本科毕业生（内招生）免试攻读研究生推荐工作实施办法（2026修订）》（暨教〔2026〕25号）等文件精神，</w:t>
      </w:r>
      <w:r>
        <w:rPr>
          <w:rFonts w:ascii="仿宋_GB2312" w:eastAsia="仿宋_GB2312" w:cs="仿宋_GB2312"/>
          <w:color w:val="000000"/>
          <w:sz w:val="31"/>
          <w:szCs w:val="31"/>
        </w:rPr>
        <w:t>为进一步规范和加强推荐优秀应届本科毕业生（内</w:t>
      </w:r>
      <w:r>
        <w:rPr>
          <w:rFonts w:hint="eastAsia" w:ascii="仿宋_GB2312" w:eastAsia="仿宋_GB2312" w:cs="仿宋_GB2312"/>
          <w:color w:val="000000"/>
          <w:sz w:val="31"/>
          <w:szCs w:val="31"/>
        </w:rPr>
        <w:t>招生）免试攻读研究生（以下简称“推免”）工作，加大拔尖创新人才培养力度，</w:t>
      </w:r>
      <w:r>
        <w:rPr>
          <w:rFonts w:hint="eastAsia" w:ascii="仿宋_GB2312" w:hAnsi="仿宋_GB2312" w:eastAsia="仿宋_GB2312" w:cs="仿宋_GB2312"/>
          <w:kern w:val="0"/>
          <w:sz w:val="32"/>
          <w:szCs w:val="32"/>
        </w:rPr>
        <w:t>结合我院人才培养特点与要求，特制定本实施细则。</w:t>
      </w:r>
    </w:p>
    <w:p w14:paraId="5C08CCE7">
      <w:pPr>
        <w:ind w:firstLine="640" w:firstLineChars="200"/>
      </w:pPr>
      <w:r>
        <w:rPr>
          <w:rFonts w:hint="eastAsia" w:ascii="黑体" w:hAnsi="黑体" w:eastAsia="黑体" w:cs="黑体"/>
          <w:kern w:val="0"/>
          <w:sz w:val="32"/>
          <w:szCs w:val="32"/>
        </w:rPr>
        <w:t>第一条 基本原则</w:t>
      </w:r>
    </w:p>
    <w:p w14:paraId="58A9A54A">
      <w:pPr>
        <w:pStyle w:val="6"/>
        <w:widowControl/>
        <w:spacing w:beforeAutospacing="0" w:afterAutospacing="0"/>
        <w:ind w:firstLine="650"/>
        <w:contextualSpacing/>
        <w:jc w:val="both"/>
        <w:rPr>
          <w:rFonts w:ascii="仿宋_GB2312" w:eastAsia="仿宋_GB2312" w:cs="仿宋_GB2312"/>
          <w:color w:val="000000"/>
          <w:sz w:val="31"/>
          <w:szCs w:val="31"/>
        </w:rPr>
      </w:pPr>
      <w:r>
        <w:rPr>
          <w:rFonts w:hint="eastAsia" w:ascii="仿宋_GB2312" w:hAnsi="仿宋_GB2312" w:eastAsia="仿宋_GB2312" w:cs="仿宋_GB2312"/>
          <w:sz w:val="32"/>
          <w:szCs w:val="32"/>
        </w:rPr>
        <w:t>推免工作严守公开、公平、公正原则，</w:t>
      </w:r>
      <w:r>
        <w:rPr>
          <w:rFonts w:ascii="仿宋_GB2312" w:eastAsia="仿宋_GB2312" w:cs="仿宋_GB2312"/>
          <w:color w:val="000000"/>
          <w:sz w:val="31"/>
          <w:szCs w:val="31"/>
        </w:rPr>
        <w:t>以</w:t>
      </w:r>
      <w:r>
        <w:rPr>
          <w:rFonts w:hint="eastAsia" w:ascii="仿宋_GB2312" w:eastAsia="仿宋_GB2312" w:cs="仿宋_GB2312"/>
          <w:color w:val="000000"/>
          <w:sz w:val="31"/>
          <w:szCs w:val="31"/>
        </w:rPr>
        <w:t>提升</w:t>
      </w:r>
      <w:r>
        <w:rPr>
          <w:rFonts w:ascii="仿宋_GB2312" w:eastAsia="仿宋_GB2312" w:cs="仿宋_GB2312"/>
          <w:color w:val="000000"/>
          <w:sz w:val="31"/>
          <w:szCs w:val="31"/>
        </w:rPr>
        <w:t>人才选拔质量为核心，完善全</w:t>
      </w:r>
      <w:r>
        <w:rPr>
          <w:rFonts w:hint="eastAsia" w:ascii="仿宋_GB2312" w:eastAsia="仿宋_GB2312" w:cs="仿宋_GB2312"/>
          <w:color w:val="000000"/>
          <w:sz w:val="31"/>
          <w:szCs w:val="31"/>
        </w:rPr>
        <w:t>面考查、综合评价、择优选拔的推免生评价体系与工作机制，突出考查学生的一贯学业表现，强化对学生科研创新潜质与专业能力倾向的考核，引导学生全面发展。</w:t>
      </w:r>
    </w:p>
    <w:p w14:paraId="7F36ECE2">
      <w:pPr>
        <w:ind w:firstLine="640" w:firstLineChars="200"/>
        <w:rPr>
          <w:rFonts w:hint="eastAsia" w:ascii="黑体" w:hAnsi="黑体" w:eastAsia="黑体" w:cs="黑体"/>
          <w:kern w:val="0"/>
          <w:sz w:val="32"/>
          <w:szCs w:val="32"/>
        </w:rPr>
      </w:pPr>
      <w:r>
        <w:rPr>
          <w:rFonts w:hint="eastAsia" w:ascii="黑体" w:hAnsi="黑体" w:eastAsia="黑体" w:cs="黑体"/>
          <w:kern w:val="0"/>
          <w:sz w:val="32"/>
          <w:szCs w:val="32"/>
        </w:rPr>
        <w:t>第二条 组织机构</w:t>
      </w:r>
    </w:p>
    <w:p w14:paraId="792A949B">
      <w:pPr>
        <w:pStyle w:val="6"/>
        <w:widowControl/>
        <w:spacing w:beforeAutospacing="0" w:afterAutospacing="0"/>
        <w:ind w:firstLine="646"/>
        <w:jc w:val="both"/>
        <w:textAlignment w:val="center"/>
      </w:pPr>
      <w:r>
        <w:rPr>
          <w:rFonts w:hint="eastAsia" w:ascii="仿宋_GB2312" w:hAnsi="仿宋_GB2312" w:eastAsia="仿宋_GB2312" w:cs="仿宋_GB2312"/>
          <w:sz w:val="32"/>
          <w:szCs w:val="32"/>
        </w:rPr>
        <w:t>学院成立推免工作小组和</w:t>
      </w:r>
      <w:r>
        <w:rPr>
          <w:rFonts w:hint="eastAsia" w:ascii="仿宋_GB2312" w:eastAsia="仿宋_GB2312" w:cs="仿宋_GB2312"/>
          <w:color w:val="000000"/>
          <w:sz w:val="31"/>
          <w:szCs w:val="31"/>
        </w:rPr>
        <w:t>专家审核小组。学院推免工作小组成员不少于5人（含学院领导、学院纪委委员），</w:t>
      </w:r>
      <w:r>
        <w:rPr>
          <w:rFonts w:hint="eastAsia" w:ascii="仿宋_GB2312" w:hAnsi="仿宋_GB2312" w:eastAsia="仿宋_GB2312" w:cs="仿宋_GB2312"/>
          <w:sz w:val="32"/>
          <w:szCs w:val="32"/>
        </w:rPr>
        <w:t>负责制订推免工作实施细则，按要求落实推免生的报名、审核、推荐、公示等工作。</w:t>
      </w:r>
      <w:r>
        <w:rPr>
          <w:rFonts w:hint="eastAsia" w:ascii="仿宋_GB2312" w:eastAsia="仿宋_GB2312" w:cs="仿宋_GB2312"/>
          <w:color w:val="000000"/>
          <w:sz w:val="31"/>
          <w:szCs w:val="31"/>
        </w:rPr>
        <w:t>学院专家审核小组成员不少于5人（副高级以上职称），负责对申请推免资格学生的科研创新成果、论文、学科竞赛、</w:t>
      </w:r>
      <w:r>
        <w:rPr>
          <w:rFonts w:hint="eastAsia" w:ascii="仿宋_GB2312" w:hAnsi="仿宋_GB2312" w:eastAsia="仿宋_GB2312" w:cs="仿宋_GB2312"/>
          <w:sz w:val="32"/>
          <w:szCs w:val="32"/>
        </w:rPr>
        <w:t>社会服务</w:t>
      </w:r>
      <w:r>
        <w:rPr>
          <w:rFonts w:hint="eastAsia" w:ascii="仿宋_GB2312" w:eastAsia="仿宋_GB2312" w:cs="仿宋_GB2312"/>
          <w:color w:val="000000"/>
          <w:sz w:val="31"/>
          <w:szCs w:val="31"/>
        </w:rPr>
        <w:t>等方面进行审核鉴定。</w:t>
      </w:r>
    </w:p>
    <w:p w14:paraId="7193FDE9">
      <w:pPr>
        <w:ind w:firstLine="640" w:firstLineChars="200"/>
        <w:rPr>
          <w:rFonts w:hint="eastAsia" w:ascii="黑体" w:hAnsi="黑体" w:eastAsia="黑体" w:cs="黑体"/>
          <w:kern w:val="0"/>
          <w:sz w:val="32"/>
          <w:szCs w:val="32"/>
        </w:rPr>
      </w:pPr>
      <w:r>
        <w:rPr>
          <w:rFonts w:hint="eastAsia" w:ascii="黑体" w:hAnsi="黑体" w:eastAsia="黑体" w:cs="黑体"/>
          <w:kern w:val="0"/>
          <w:sz w:val="32"/>
          <w:szCs w:val="32"/>
        </w:rPr>
        <w:t>第三条 基本条件</w:t>
      </w:r>
    </w:p>
    <w:p w14:paraId="5580BA5F">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（一）纳入国家普通本科招生计划录取的全日制应届毕业生。</w:t>
      </w:r>
    </w:p>
    <w:p w14:paraId="467AA98D">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（二）具有高尚的爱国主义情操与集体主义精神，社会主义信念坚定，社会责任感强，遵纪守法，积极向上，身心健康。</w:t>
      </w:r>
    </w:p>
    <w:p w14:paraId="6AC7544C">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（三）品行优良，无任何考试作弊或剽窃他人学术成果记录、无任何违法违纪受处分记录。</w:t>
      </w:r>
    </w:p>
    <w:p w14:paraId="7BF9CBC9">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（四）勤奋学习，刻苦钻研，成绩优秀，学术研究兴趣浓厚，具备较强的创新精神与创新意识。</w:t>
      </w:r>
    </w:p>
    <w:p w14:paraId="390BD8AE">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（五）申请者前三学年主修专业课程总平均学分绩点在本专业排名前50%。在第六学期结束时,按规定进度取得所有必修课程学分，否则不具备推免资格。</w:t>
      </w:r>
    </w:p>
    <w:p w14:paraId="16844C07">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第四条 评价方法</w:t>
      </w:r>
    </w:p>
    <w:p w14:paraId="6C656096">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推免生考核实行百分制综合评价，按综合评价成绩择优选拔。综合评价成绩由学业成绩与考核成绩组成，其中学业成绩占85%，考核成绩占15%。学生最终综合成绩=学业成绩×85%+考核成绩×15%。</w:t>
      </w:r>
    </w:p>
    <w:p w14:paraId="0837559A">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（一）</w:t>
      </w:r>
      <w:r>
        <w:rPr>
          <w:rFonts w:hint="eastAsia" w:ascii="仿宋_GB2312" w:hAnsi="仿宋_GB2312" w:eastAsia="仿宋_GB2312" w:cs="仿宋_GB2312"/>
          <w:kern w:val="0"/>
          <w:sz w:val="32"/>
          <w:szCs w:val="32"/>
        </w:rPr>
        <w:t>学业成绩（占比总计 85%）指学生自入学起至推免时修读的主修专业（不含辅修学士学位、辅修专业、微专业）所有课程绩点折合的百分制成绩。</w:t>
      </w:r>
    </w:p>
    <w:p w14:paraId="4DDBB934">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学业成绩以第六学期结束教务系统的记录为准，由于录入错误等非本人原因导致的课程成绩有误，需提前告知学院本科办，并在第七学期第一周内提供相关证明至学院本科办，经推免工作小组审核后最终裁定，逾期概不受理。</w:t>
      </w:r>
    </w:p>
    <w:p w14:paraId="015CEBF1">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（二）</w:t>
      </w:r>
      <w:r>
        <w:rPr>
          <w:rFonts w:hint="eastAsia" w:ascii="仿宋_GB2312" w:hAnsi="仿宋_GB2312" w:eastAsia="仿宋_GB2312" w:cs="仿宋_GB2312"/>
          <w:kern w:val="0"/>
          <w:sz w:val="32"/>
          <w:szCs w:val="32"/>
        </w:rPr>
        <w:t>考核成绩（占比总计 15%）分为科研成果、学科竞赛和社会服务三部分，占比均为5%</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。考核成绩只限在本科阶段以暨南大学为第一完成单位或者参赛单位取得的成果。</w:t>
      </w:r>
    </w:p>
    <w:p w14:paraId="64D42D2D">
      <w:pPr>
        <w:spacing w:line="560" w:lineRule="exact"/>
        <w:ind w:firstLine="640" w:firstLineChars="200"/>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val="en-US" w:eastAsia="zh-CN"/>
        </w:rPr>
        <w:t xml:space="preserve">1. </w:t>
      </w:r>
      <w:r>
        <w:rPr>
          <w:rFonts w:hint="eastAsia" w:ascii="仿宋_GB2312" w:hAnsi="仿宋_GB2312" w:eastAsia="仿宋_GB2312" w:cs="仿宋_GB2312"/>
          <w:kern w:val="0"/>
          <w:sz w:val="32"/>
          <w:szCs w:val="32"/>
        </w:rPr>
        <w:t>科研成果（占比5%）</w:t>
      </w:r>
    </w:p>
    <w:p w14:paraId="3AD61322">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表一  论文发表计分标准（分/篇）</w:t>
      </w:r>
    </w:p>
    <w:tbl>
      <w:tblPr>
        <w:tblStyle w:val="8"/>
        <w:tblW w:w="83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1446"/>
        <w:gridCol w:w="1559"/>
        <w:gridCol w:w="1985"/>
        <w:gridCol w:w="1730"/>
      </w:tblGrid>
      <w:tr w14:paraId="60E71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14:paraId="41A8C0FD">
            <w:pPr>
              <w:spacing w:line="560" w:lineRule="exact"/>
              <w:jc w:val="center"/>
              <w:rPr>
                <w:rFonts w:hint="eastAsia"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刊物类别</w:t>
            </w:r>
          </w:p>
        </w:tc>
        <w:tc>
          <w:tcPr>
            <w:tcW w:w="1446" w:type="dxa"/>
          </w:tcPr>
          <w:p w14:paraId="02008840">
            <w:pPr>
              <w:spacing w:line="560" w:lineRule="exact"/>
              <w:jc w:val="center"/>
              <w:rPr>
                <w:rFonts w:hint="eastAsia"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A1</w:t>
            </w:r>
          </w:p>
        </w:tc>
        <w:tc>
          <w:tcPr>
            <w:tcW w:w="1559" w:type="dxa"/>
          </w:tcPr>
          <w:p w14:paraId="6977A6A9">
            <w:pPr>
              <w:spacing w:line="560" w:lineRule="exact"/>
              <w:jc w:val="center"/>
              <w:rPr>
                <w:rFonts w:hint="eastAsia"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A2</w:t>
            </w:r>
          </w:p>
        </w:tc>
        <w:tc>
          <w:tcPr>
            <w:tcW w:w="1985" w:type="dxa"/>
          </w:tcPr>
          <w:p w14:paraId="2E419011">
            <w:pPr>
              <w:spacing w:line="560" w:lineRule="exact"/>
              <w:jc w:val="center"/>
              <w:rPr>
                <w:rFonts w:hint="eastAsia"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A3</w:t>
            </w:r>
          </w:p>
        </w:tc>
        <w:tc>
          <w:tcPr>
            <w:tcW w:w="1730" w:type="dxa"/>
          </w:tcPr>
          <w:p w14:paraId="2440B185">
            <w:pPr>
              <w:spacing w:line="560" w:lineRule="exact"/>
              <w:jc w:val="center"/>
              <w:rPr>
                <w:rFonts w:hint="eastAsia"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B</w:t>
            </w:r>
          </w:p>
        </w:tc>
      </w:tr>
      <w:tr w14:paraId="59BDD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14:paraId="1B7F9894">
            <w:pPr>
              <w:spacing w:line="560" w:lineRule="exact"/>
              <w:ind w:firstLine="280" w:firstLineChars="100"/>
              <w:jc w:val="center"/>
              <w:rPr>
                <w:rFonts w:hint="eastAsia"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分值</w:t>
            </w:r>
          </w:p>
        </w:tc>
        <w:tc>
          <w:tcPr>
            <w:tcW w:w="1446" w:type="dxa"/>
          </w:tcPr>
          <w:p w14:paraId="090D1D84">
            <w:pPr>
              <w:spacing w:line="560" w:lineRule="exact"/>
              <w:jc w:val="center"/>
              <w:rPr>
                <w:rFonts w:hint="eastAsia"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5</w:t>
            </w:r>
          </w:p>
        </w:tc>
        <w:tc>
          <w:tcPr>
            <w:tcW w:w="1559" w:type="dxa"/>
          </w:tcPr>
          <w:p w14:paraId="573209D3">
            <w:pPr>
              <w:spacing w:line="560" w:lineRule="exact"/>
              <w:jc w:val="center"/>
              <w:rPr>
                <w:rFonts w:hint="eastAsia"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3</w:t>
            </w:r>
          </w:p>
        </w:tc>
        <w:tc>
          <w:tcPr>
            <w:tcW w:w="1985" w:type="dxa"/>
          </w:tcPr>
          <w:p w14:paraId="35AFB853">
            <w:pPr>
              <w:spacing w:line="560" w:lineRule="exact"/>
              <w:jc w:val="center"/>
              <w:rPr>
                <w:rFonts w:hint="eastAsia"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2</w:t>
            </w:r>
          </w:p>
        </w:tc>
        <w:tc>
          <w:tcPr>
            <w:tcW w:w="1730" w:type="dxa"/>
          </w:tcPr>
          <w:p w14:paraId="313F055F">
            <w:pPr>
              <w:spacing w:line="560" w:lineRule="exact"/>
              <w:jc w:val="center"/>
              <w:rPr>
                <w:rFonts w:hint="eastAsia"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1</w:t>
            </w:r>
          </w:p>
        </w:tc>
      </w:tr>
    </w:tbl>
    <w:p w14:paraId="61EEC112">
      <w:pPr>
        <w:spacing w:line="560" w:lineRule="exact"/>
        <w:ind w:firstLine="640" w:firstLineChars="200"/>
        <w:rPr>
          <w:rFonts w:hint="eastAsia" w:ascii="仿宋_GB2312" w:hAnsi="仿宋_GB2312" w:eastAsia="仿宋_GB2312" w:cs="仿宋_GB2312"/>
          <w:kern w:val="0"/>
          <w:sz w:val="32"/>
          <w:szCs w:val="32"/>
          <w:lang w:bidi="ar"/>
        </w:rPr>
      </w:pPr>
    </w:p>
    <w:p w14:paraId="5DAB9E37">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说明：①中文期刊的等级划分以暨南大学人文社会科学学术期刊目录为准。②中文期刊论文须见刊、英文期刊论文须检索。③学校预警的期刊除外。④中文论文，学生须为第一作者；英文论文，学生须为第一作者（不计共同第一），或按姓氏字母顺序署名的第一顺位学生。⑤发表论文为所学专业相关的科研论文。⑥不在以上类别期刊上的其他论文发表，将由专家审核小组认定是否给予加分以及分值。</w:t>
      </w:r>
    </w:p>
    <w:p w14:paraId="664AE21B">
      <w:pPr>
        <w:numPr>
          <w:ilvl w:val="0"/>
          <w:numId w:val="1"/>
        </w:numPr>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学科竞赛获奖（占比5%）</w:t>
      </w:r>
    </w:p>
    <w:p w14:paraId="61D11EE4">
      <w:pPr>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表二、竞赛获奖计分标准（分/</w:t>
      </w:r>
      <w:r>
        <w:rPr>
          <w:rFonts w:hint="eastAsia" w:ascii="仿宋_GB2312" w:hAnsi="仿宋_GB2312" w:eastAsia="仿宋_GB2312" w:cs="仿宋_GB2312"/>
          <w:kern w:val="0"/>
          <w:sz w:val="32"/>
          <w:szCs w:val="32"/>
          <w:lang w:eastAsia="zh-CN"/>
        </w:rPr>
        <w:t>项</w:t>
      </w:r>
      <w:r>
        <w:rPr>
          <w:rFonts w:hint="eastAsia" w:ascii="仿宋_GB2312" w:hAnsi="仿宋_GB2312" w:eastAsia="仿宋_GB2312" w:cs="仿宋_GB2312"/>
          <w:kern w:val="0"/>
          <w:sz w:val="32"/>
          <w:szCs w:val="32"/>
        </w:rPr>
        <w:t>）</w:t>
      </w:r>
    </w:p>
    <w:tbl>
      <w:tblPr>
        <w:tblStyle w:val="7"/>
        <w:tblW w:w="8218" w:type="dxa"/>
        <w:tblInd w:w="71" w:type="dxa"/>
        <w:tblLayout w:type="autofit"/>
        <w:tblCellMar>
          <w:top w:w="0" w:type="dxa"/>
          <w:left w:w="108" w:type="dxa"/>
          <w:bottom w:w="0" w:type="dxa"/>
          <w:right w:w="108" w:type="dxa"/>
        </w:tblCellMar>
      </w:tblPr>
      <w:tblGrid>
        <w:gridCol w:w="2020"/>
        <w:gridCol w:w="1032"/>
        <w:gridCol w:w="1032"/>
        <w:gridCol w:w="1035"/>
        <w:gridCol w:w="1032"/>
        <w:gridCol w:w="1032"/>
        <w:gridCol w:w="1035"/>
      </w:tblGrid>
      <w:tr w14:paraId="368FA018">
        <w:trPr>
          <w:trHeight w:val="844" w:hRule="atLeast"/>
        </w:trPr>
        <w:tc>
          <w:tcPr>
            <w:tcW w:w="202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E9AFF0D">
            <w:pPr>
              <w:widowControl/>
              <w:jc w:val="center"/>
              <w:textAlignment w:val="center"/>
              <w:rPr>
                <w:rFonts w:hint="eastAsia"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级别</w:t>
            </w:r>
          </w:p>
        </w:tc>
        <w:tc>
          <w:tcPr>
            <w:tcW w:w="3099" w:type="dxa"/>
            <w:gridSpan w:val="3"/>
            <w:tcBorders>
              <w:top w:val="single" w:color="000000" w:sz="8" w:space="0"/>
              <w:left w:val="nil"/>
              <w:bottom w:val="single" w:color="000000" w:sz="8" w:space="0"/>
              <w:right w:val="single" w:color="000000" w:sz="8" w:space="0"/>
            </w:tcBorders>
            <w:shd w:val="clear" w:color="auto" w:fill="FFFFFF"/>
            <w:vAlign w:val="center"/>
          </w:tcPr>
          <w:p w14:paraId="0B37509F">
            <w:pPr>
              <w:widowControl/>
              <w:jc w:val="center"/>
              <w:textAlignment w:val="center"/>
              <w:rPr>
                <w:rFonts w:hint="eastAsia"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国家级</w:t>
            </w:r>
          </w:p>
        </w:tc>
        <w:tc>
          <w:tcPr>
            <w:tcW w:w="3099" w:type="dxa"/>
            <w:gridSpan w:val="3"/>
            <w:tcBorders>
              <w:top w:val="single" w:color="000000" w:sz="8" w:space="0"/>
              <w:left w:val="single" w:color="000000" w:sz="8" w:space="0"/>
              <w:bottom w:val="single" w:color="000000" w:sz="8" w:space="0"/>
              <w:right w:val="single" w:color="000000" w:sz="8" w:space="0"/>
            </w:tcBorders>
            <w:shd w:val="clear" w:color="auto" w:fill="FFFFFF"/>
            <w:vAlign w:val="center"/>
          </w:tcPr>
          <w:p w14:paraId="641C8E65">
            <w:pPr>
              <w:widowControl/>
              <w:jc w:val="center"/>
              <w:textAlignment w:val="center"/>
              <w:rPr>
                <w:rFonts w:hint="eastAsia"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省级</w:t>
            </w:r>
          </w:p>
        </w:tc>
      </w:tr>
      <w:tr w14:paraId="73358F40">
        <w:tblPrEx>
          <w:tblCellMar>
            <w:top w:w="0" w:type="dxa"/>
            <w:left w:w="108" w:type="dxa"/>
            <w:bottom w:w="0" w:type="dxa"/>
            <w:right w:w="108" w:type="dxa"/>
          </w:tblCellMar>
        </w:tblPrEx>
        <w:trPr>
          <w:trHeight w:val="717" w:hRule="atLeast"/>
        </w:trPr>
        <w:tc>
          <w:tcPr>
            <w:tcW w:w="2020" w:type="dxa"/>
            <w:tcBorders>
              <w:top w:val="nil"/>
              <w:left w:val="single" w:color="000000" w:sz="8" w:space="0"/>
              <w:bottom w:val="single" w:color="000000" w:sz="8" w:space="0"/>
              <w:right w:val="single" w:color="000000" w:sz="8" w:space="0"/>
            </w:tcBorders>
            <w:shd w:val="clear" w:color="auto" w:fill="FFFFFF"/>
            <w:vAlign w:val="center"/>
          </w:tcPr>
          <w:p w14:paraId="3EFD85AC">
            <w:pPr>
              <w:widowControl/>
              <w:jc w:val="center"/>
              <w:textAlignment w:val="center"/>
              <w:rPr>
                <w:rFonts w:hint="eastAsia"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等级</w:t>
            </w:r>
          </w:p>
        </w:tc>
        <w:tc>
          <w:tcPr>
            <w:tcW w:w="1032" w:type="dxa"/>
            <w:tcBorders>
              <w:top w:val="nil"/>
              <w:left w:val="nil"/>
              <w:bottom w:val="single" w:color="000000" w:sz="8" w:space="0"/>
              <w:right w:val="single" w:color="000000" w:sz="8" w:space="0"/>
            </w:tcBorders>
            <w:shd w:val="clear" w:color="auto" w:fill="FFFFFF"/>
            <w:vAlign w:val="center"/>
          </w:tcPr>
          <w:p w14:paraId="1EFDDFDE">
            <w:pPr>
              <w:widowControl/>
              <w:jc w:val="center"/>
              <w:textAlignment w:val="center"/>
              <w:rPr>
                <w:rFonts w:hint="eastAsia"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一</w:t>
            </w:r>
          </w:p>
        </w:tc>
        <w:tc>
          <w:tcPr>
            <w:tcW w:w="1032" w:type="dxa"/>
            <w:tcBorders>
              <w:top w:val="nil"/>
              <w:left w:val="nil"/>
              <w:bottom w:val="single" w:color="000000" w:sz="8" w:space="0"/>
              <w:right w:val="single" w:color="000000" w:sz="8" w:space="0"/>
            </w:tcBorders>
            <w:shd w:val="clear" w:color="auto" w:fill="FFFFFF"/>
            <w:vAlign w:val="center"/>
          </w:tcPr>
          <w:p w14:paraId="0C820CF6">
            <w:pPr>
              <w:widowControl/>
              <w:jc w:val="center"/>
              <w:textAlignment w:val="center"/>
              <w:rPr>
                <w:rFonts w:hint="eastAsia"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二</w:t>
            </w:r>
          </w:p>
        </w:tc>
        <w:tc>
          <w:tcPr>
            <w:tcW w:w="1035" w:type="dxa"/>
            <w:tcBorders>
              <w:top w:val="nil"/>
              <w:left w:val="nil"/>
              <w:bottom w:val="single" w:color="000000" w:sz="8" w:space="0"/>
              <w:right w:val="single" w:color="000000" w:sz="8" w:space="0"/>
            </w:tcBorders>
            <w:shd w:val="clear" w:color="auto" w:fill="FFFFFF"/>
            <w:vAlign w:val="center"/>
          </w:tcPr>
          <w:p w14:paraId="7437ED84">
            <w:pPr>
              <w:widowControl/>
              <w:jc w:val="center"/>
              <w:textAlignment w:val="center"/>
              <w:rPr>
                <w:rFonts w:hint="eastAsia"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三</w:t>
            </w:r>
          </w:p>
        </w:tc>
        <w:tc>
          <w:tcPr>
            <w:tcW w:w="1032"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09FCAFB">
            <w:pPr>
              <w:widowControl/>
              <w:jc w:val="center"/>
              <w:textAlignment w:val="center"/>
              <w:rPr>
                <w:rFonts w:hint="eastAsia"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一</w:t>
            </w:r>
          </w:p>
        </w:tc>
        <w:tc>
          <w:tcPr>
            <w:tcW w:w="1032" w:type="dxa"/>
            <w:tcBorders>
              <w:top w:val="single" w:color="000000" w:sz="8" w:space="0"/>
              <w:left w:val="nil"/>
              <w:bottom w:val="single" w:color="000000" w:sz="8" w:space="0"/>
              <w:right w:val="single" w:color="000000" w:sz="8" w:space="0"/>
            </w:tcBorders>
            <w:shd w:val="clear" w:color="auto" w:fill="FFFFFF"/>
            <w:vAlign w:val="center"/>
          </w:tcPr>
          <w:p w14:paraId="2D3AB38F">
            <w:pPr>
              <w:widowControl/>
              <w:jc w:val="center"/>
              <w:textAlignment w:val="center"/>
              <w:rPr>
                <w:rFonts w:hint="eastAsia"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二</w:t>
            </w:r>
          </w:p>
        </w:tc>
        <w:tc>
          <w:tcPr>
            <w:tcW w:w="1035" w:type="dxa"/>
            <w:tcBorders>
              <w:top w:val="single" w:color="000000" w:sz="8" w:space="0"/>
              <w:left w:val="nil"/>
              <w:bottom w:val="single" w:color="000000" w:sz="8" w:space="0"/>
              <w:right w:val="single" w:color="000000" w:sz="8" w:space="0"/>
            </w:tcBorders>
            <w:shd w:val="clear" w:color="auto" w:fill="FFFFFF"/>
            <w:vAlign w:val="center"/>
          </w:tcPr>
          <w:p w14:paraId="40074D84">
            <w:pPr>
              <w:widowControl/>
              <w:jc w:val="center"/>
              <w:textAlignment w:val="center"/>
              <w:rPr>
                <w:rFonts w:hint="eastAsia"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三</w:t>
            </w:r>
          </w:p>
        </w:tc>
      </w:tr>
      <w:tr w14:paraId="684ED7F6">
        <w:tblPrEx>
          <w:tblCellMar>
            <w:top w:w="0" w:type="dxa"/>
            <w:left w:w="108" w:type="dxa"/>
            <w:bottom w:w="0" w:type="dxa"/>
            <w:right w:w="108" w:type="dxa"/>
          </w:tblCellMar>
        </w:tblPrEx>
        <w:trPr>
          <w:trHeight w:val="732" w:hRule="atLeast"/>
        </w:trPr>
        <w:tc>
          <w:tcPr>
            <w:tcW w:w="2020" w:type="dxa"/>
            <w:tcBorders>
              <w:top w:val="nil"/>
              <w:left w:val="single" w:color="000000" w:sz="8" w:space="0"/>
              <w:bottom w:val="single" w:color="000000" w:sz="8" w:space="0"/>
              <w:right w:val="single" w:color="000000" w:sz="8" w:space="0"/>
            </w:tcBorders>
            <w:shd w:val="clear" w:color="auto" w:fill="FFFFFF"/>
            <w:vAlign w:val="center"/>
          </w:tcPr>
          <w:p w14:paraId="68C58355">
            <w:pPr>
              <w:widowControl/>
              <w:jc w:val="center"/>
              <w:textAlignment w:val="center"/>
              <w:rPr>
                <w:rFonts w:hint="eastAsia"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分值</w:t>
            </w:r>
          </w:p>
        </w:tc>
        <w:tc>
          <w:tcPr>
            <w:tcW w:w="1032" w:type="dxa"/>
            <w:tcBorders>
              <w:top w:val="nil"/>
              <w:left w:val="nil"/>
              <w:bottom w:val="single" w:color="000000" w:sz="8" w:space="0"/>
              <w:right w:val="single" w:color="000000" w:sz="8" w:space="0"/>
            </w:tcBorders>
            <w:shd w:val="clear" w:color="auto" w:fill="FFFFFF"/>
            <w:vAlign w:val="center"/>
          </w:tcPr>
          <w:p w14:paraId="7C4C4218">
            <w:pPr>
              <w:widowControl/>
              <w:jc w:val="center"/>
              <w:textAlignment w:val="center"/>
              <w:rPr>
                <w:rFonts w:hint="eastAsia"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5</w:t>
            </w:r>
          </w:p>
        </w:tc>
        <w:tc>
          <w:tcPr>
            <w:tcW w:w="1032" w:type="dxa"/>
            <w:tcBorders>
              <w:top w:val="nil"/>
              <w:left w:val="nil"/>
              <w:bottom w:val="single" w:color="000000" w:sz="8" w:space="0"/>
              <w:right w:val="single" w:color="000000" w:sz="8" w:space="0"/>
            </w:tcBorders>
            <w:shd w:val="clear" w:color="auto" w:fill="FFFFFF"/>
            <w:vAlign w:val="center"/>
          </w:tcPr>
          <w:p w14:paraId="14909A58">
            <w:pPr>
              <w:widowControl/>
              <w:jc w:val="center"/>
              <w:textAlignment w:val="center"/>
              <w:rPr>
                <w:rFonts w:hint="eastAsia"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4</w:t>
            </w:r>
          </w:p>
        </w:tc>
        <w:tc>
          <w:tcPr>
            <w:tcW w:w="1035" w:type="dxa"/>
            <w:tcBorders>
              <w:top w:val="nil"/>
              <w:left w:val="nil"/>
              <w:bottom w:val="single" w:color="000000" w:sz="8" w:space="0"/>
              <w:right w:val="single" w:color="000000" w:sz="8" w:space="0"/>
            </w:tcBorders>
            <w:shd w:val="clear" w:color="auto" w:fill="FFFFFF"/>
            <w:vAlign w:val="center"/>
          </w:tcPr>
          <w:p w14:paraId="0A7DCCC2">
            <w:pPr>
              <w:widowControl/>
              <w:jc w:val="center"/>
              <w:textAlignment w:val="center"/>
              <w:rPr>
                <w:rFonts w:hint="eastAsia"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3</w:t>
            </w:r>
          </w:p>
        </w:tc>
        <w:tc>
          <w:tcPr>
            <w:tcW w:w="1032" w:type="dxa"/>
            <w:tcBorders>
              <w:top w:val="nil"/>
              <w:left w:val="single" w:color="000000" w:sz="8" w:space="0"/>
              <w:bottom w:val="single" w:color="000000" w:sz="8" w:space="0"/>
              <w:right w:val="single" w:color="000000" w:sz="8" w:space="0"/>
            </w:tcBorders>
            <w:shd w:val="clear" w:color="auto" w:fill="FFFFFF"/>
            <w:vAlign w:val="center"/>
          </w:tcPr>
          <w:p w14:paraId="1724D717">
            <w:pPr>
              <w:widowControl/>
              <w:jc w:val="center"/>
              <w:textAlignment w:val="center"/>
              <w:rPr>
                <w:rFonts w:hint="eastAsia"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2.5</w:t>
            </w:r>
          </w:p>
        </w:tc>
        <w:tc>
          <w:tcPr>
            <w:tcW w:w="1032" w:type="dxa"/>
            <w:tcBorders>
              <w:top w:val="nil"/>
              <w:left w:val="nil"/>
              <w:bottom w:val="single" w:color="000000" w:sz="8" w:space="0"/>
              <w:right w:val="single" w:color="000000" w:sz="8" w:space="0"/>
            </w:tcBorders>
            <w:shd w:val="clear" w:color="auto" w:fill="FFFFFF"/>
            <w:vAlign w:val="center"/>
          </w:tcPr>
          <w:p w14:paraId="7B5C5210">
            <w:pPr>
              <w:widowControl/>
              <w:jc w:val="center"/>
              <w:textAlignment w:val="center"/>
              <w:rPr>
                <w:rFonts w:hint="eastAsia"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2</w:t>
            </w:r>
          </w:p>
        </w:tc>
        <w:tc>
          <w:tcPr>
            <w:tcW w:w="1035" w:type="dxa"/>
            <w:tcBorders>
              <w:top w:val="nil"/>
              <w:left w:val="nil"/>
              <w:bottom w:val="single" w:color="000000" w:sz="8" w:space="0"/>
              <w:right w:val="single" w:color="000000" w:sz="8" w:space="0"/>
            </w:tcBorders>
            <w:shd w:val="clear" w:color="auto" w:fill="FFFFFF"/>
            <w:vAlign w:val="center"/>
          </w:tcPr>
          <w:p w14:paraId="1FC51F4F">
            <w:pPr>
              <w:widowControl/>
              <w:jc w:val="center"/>
              <w:textAlignment w:val="center"/>
              <w:rPr>
                <w:rFonts w:hint="eastAsia"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1.5</w:t>
            </w:r>
          </w:p>
        </w:tc>
      </w:tr>
    </w:tbl>
    <w:p w14:paraId="33BFF666">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说明：①学术竞赛或项目立项不加分，需在推免时已经获得相应的奖项；②表中获奖等级“一、二、三”分别对应相关奖项的“特等、一等、二等”或“一等、二等、三等”“金奖、银奖、铜奖”。③国家级奖项：团队负责人按上表相应分值的100%计分；除负责人外的其他成员，项目第二参与人按70%、第三参与人按50%、第四参与人按40%、第五参与人按30%计入分值、第六参与人按20%、第七参与人按10%计入分值；第八及之后的参与人按上表相应分值的5%计入分值。省级奖项：团队负责人按上表相应分值的100%计分；项目第二参与人按50%、第三参与人按30%、第四参与人按20%、第五参与人按上表相应分值的 10%计入分值；其余成员不计算分值。④表中所列奖项均指教育部、省教育厅等政府机构举办的学术竞赛奖项，中国国际大学生创新创业大赛、“挑战杯”全国大学生课外学术科技作品竞赛、“挑战杯”中国大学生创业计划竞赛、全国大学生创新年会（按80%计入分值）、全国大学生职业规划大赛（成长赛道）、大学生新文科实践创新大赛（按80%计入分值）、大学生市场调查与分析大赛（按10%计入分值）。同一项目获多个奖项时，仅按最高级别奖项对应分值计分一次。⑤未列入第④的学科竞赛获奖情况，将由专家审核小组认定加分与否以及分值。</w:t>
      </w:r>
    </w:p>
    <w:p w14:paraId="15CA7D92">
      <w:pPr>
        <w:widowControl/>
        <w:spacing w:line="560" w:lineRule="exact"/>
        <w:ind w:firstLine="320" w:firstLineChars="100"/>
        <w:rPr>
          <w:rFonts w:hint="eastAsia" w:ascii="仿宋_GB2312" w:hAnsi="仿宋_GB2312" w:eastAsia="仿宋_GB2312" w:cs="仿宋_GB2312"/>
          <w:color w:val="000000"/>
          <w:kern w:val="0"/>
          <w:sz w:val="32"/>
          <w:szCs w:val="32"/>
          <w:lang w:bidi="ar"/>
        </w:rPr>
      </w:pPr>
    </w:p>
    <w:p w14:paraId="665C6E76">
      <w:pPr>
        <w:widowControl/>
        <w:spacing w:line="560" w:lineRule="exact"/>
        <w:ind w:firstLine="320" w:firstLineChars="100"/>
        <w:rPr>
          <w:rFonts w:hint="eastAsia" w:ascii="仿宋_GB2312" w:hAnsi="仿宋_GB2312" w:eastAsia="仿宋_GB2312" w:cs="仿宋_GB2312"/>
          <w:color w:val="000000"/>
          <w:kern w:val="0"/>
          <w:sz w:val="32"/>
          <w:szCs w:val="32"/>
          <w:lang w:eastAsia="zh-CN" w:bidi="ar"/>
        </w:rPr>
      </w:pPr>
      <w:r>
        <w:rPr>
          <w:rFonts w:hint="eastAsia" w:ascii="仿宋_GB2312" w:hAnsi="仿宋_GB2312" w:eastAsia="仿宋_GB2312" w:cs="仿宋_GB2312"/>
          <w:color w:val="000000"/>
          <w:kern w:val="0"/>
          <w:sz w:val="32"/>
          <w:szCs w:val="32"/>
          <w:lang w:bidi="ar"/>
        </w:rPr>
        <w:t>表三、科研项目计分标准</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kern w:val="0"/>
          <w:sz w:val="32"/>
          <w:szCs w:val="32"/>
        </w:rPr>
        <w:t>分/</w:t>
      </w:r>
      <w:r>
        <w:rPr>
          <w:rFonts w:hint="eastAsia" w:ascii="仿宋_GB2312" w:hAnsi="仿宋_GB2312" w:eastAsia="仿宋_GB2312" w:cs="仿宋_GB2312"/>
          <w:kern w:val="0"/>
          <w:sz w:val="32"/>
          <w:szCs w:val="32"/>
          <w:lang w:eastAsia="zh-CN"/>
        </w:rPr>
        <w:t>项</w:t>
      </w:r>
      <w:r>
        <w:rPr>
          <w:rFonts w:hint="eastAsia" w:ascii="仿宋_GB2312" w:hAnsi="仿宋_GB2312" w:eastAsia="仿宋_GB2312" w:cs="仿宋_GB2312"/>
          <w:color w:val="000000"/>
          <w:kern w:val="0"/>
          <w:sz w:val="32"/>
          <w:szCs w:val="32"/>
          <w:lang w:eastAsia="zh-CN" w:bidi="ar"/>
        </w:rPr>
        <w:t>）</w:t>
      </w:r>
    </w:p>
    <w:tbl>
      <w:tblPr>
        <w:tblStyle w:val="7"/>
        <w:tblpPr w:leftFromText="180" w:rightFromText="180" w:vertAnchor="text" w:horzAnchor="page" w:tblpX="1669" w:tblpY="290"/>
        <w:tblOverlap w:val="never"/>
        <w:tblW w:w="5019" w:type="pct"/>
        <w:tblInd w:w="0" w:type="dxa"/>
        <w:tblLayout w:type="autofit"/>
        <w:tblCellMar>
          <w:top w:w="0" w:type="dxa"/>
          <w:left w:w="108" w:type="dxa"/>
          <w:bottom w:w="0" w:type="dxa"/>
          <w:right w:w="108" w:type="dxa"/>
        </w:tblCellMar>
      </w:tblPr>
      <w:tblGrid>
        <w:gridCol w:w="1570"/>
        <w:gridCol w:w="1667"/>
        <w:gridCol w:w="1864"/>
        <w:gridCol w:w="1746"/>
        <w:gridCol w:w="2023"/>
      </w:tblGrid>
      <w:tr w14:paraId="3F0F050C">
        <w:tblPrEx>
          <w:tblCellMar>
            <w:top w:w="0" w:type="dxa"/>
            <w:left w:w="108" w:type="dxa"/>
            <w:bottom w:w="0" w:type="dxa"/>
            <w:right w:w="108" w:type="dxa"/>
          </w:tblCellMar>
        </w:tblPrEx>
        <w:trPr>
          <w:trHeight w:val="628" w:hRule="atLeast"/>
        </w:trPr>
        <w:tc>
          <w:tcPr>
            <w:tcW w:w="885" w:type="pct"/>
            <w:vMerge w:val="restart"/>
            <w:tcBorders>
              <w:top w:val="single" w:color="000000" w:sz="4" w:space="0"/>
              <w:left w:val="single" w:color="000000" w:sz="4" w:space="0"/>
              <w:bottom w:val="single" w:color="000000" w:sz="4" w:space="0"/>
              <w:right w:val="single" w:color="000000" w:sz="4" w:space="0"/>
            </w:tcBorders>
            <w:vAlign w:val="center"/>
          </w:tcPr>
          <w:p w14:paraId="2BD01093">
            <w:pPr>
              <w:widowControl/>
              <w:textAlignment w:val="center"/>
              <w:rPr>
                <w:rFonts w:hint="default" w:ascii="24" w:hAnsi="24" w:eastAsia="仿宋_GB2312" w:cs="24"/>
                <w:color w:val="000000"/>
                <w:sz w:val="24"/>
                <w:szCs w:val="24"/>
              </w:rPr>
            </w:pPr>
            <w:r>
              <w:rPr>
                <w:rFonts w:hint="default" w:ascii="24" w:hAnsi="24" w:eastAsia="仿宋_GB2312" w:cs="24"/>
                <w:color w:val="000000"/>
                <w:kern w:val="0"/>
                <w:sz w:val="24"/>
                <w:szCs w:val="24"/>
                <w:lang w:bidi="ar"/>
              </w:rPr>
              <w:t>大学生创新创业训练计划结项</w:t>
            </w:r>
          </w:p>
        </w:tc>
        <w:tc>
          <w:tcPr>
            <w:tcW w:w="939" w:type="pct"/>
            <w:vMerge w:val="restart"/>
            <w:tcBorders>
              <w:top w:val="single" w:color="000000" w:sz="4" w:space="0"/>
              <w:left w:val="single" w:color="000000" w:sz="4" w:space="0"/>
              <w:bottom w:val="single" w:color="000000" w:sz="4" w:space="0"/>
              <w:right w:val="single" w:color="000000" w:sz="4" w:space="0"/>
            </w:tcBorders>
            <w:vAlign w:val="center"/>
          </w:tcPr>
          <w:p w14:paraId="68189631">
            <w:pPr>
              <w:widowControl/>
              <w:jc w:val="center"/>
              <w:textAlignment w:val="center"/>
              <w:rPr>
                <w:rFonts w:hint="default" w:ascii="24" w:hAnsi="24" w:eastAsia="仿宋_GB2312" w:cs="24"/>
                <w:color w:val="000000"/>
                <w:sz w:val="24"/>
                <w:szCs w:val="24"/>
              </w:rPr>
            </w:pPr>
            <w:r>
              <w:rPr>
                <w:rFonts w:hint="default" w:ascii="24" w:hAnsi="24" w:eastAsia="仿宋_GB2312" w:cs="24"/>
                <w:color w:val="000000"/>
                <w:kern w:val="0"/>
                <w:sz w:val="24"/>
                <w:szCs w:val="24"/>
                <w:lang w:bidi="ar"/>
              </w:rPr>
              <w:t>级别</w:t>
            </w:r>
          </w:p>
        </w:tc>
        <w:tc>
          <w:tcPr>
            <w:tcW w:w="2034" w:type="pct"/>
            <w:gridSpan w:val="2"/>
            <w:tcBorders>
              <w:top w:val="single" w:color="000000" w:sz="4" w:space="0"/>
              <w:left w:val="single" w:color="000000" w:sz="4" w:space="0"/>
              <w:bottom w:val="single" w:color="000000" w:sz="4" w:space="0"/>
              <w:right w:val="single" w:color="000000" w:sz="4" w:space="0"/>
            </w:tcBorders>
            <w:vAlign w:val="center"/>
          </w:tcPr>
          <w:p w14:paraId="1246CEE3">
            <w:pPr>
              <w:widowControl/>
              <w:ind w:firstLine="720" w:firstLineChars="300"/>
              <w:textAlignment w:val="center"/>
              <w:rPr>
                <w:rFonts w:hint="default" w:ascii="24" w:hAnsi="24" w:eastAsia="仿宋_GB2312" w:cs="24"/>
                <w:color w:val="000000"/>
                <w:sz w:val="24"/>
                <w:szCs w:val="24"/>
              </w:rPr>
            </w:pPr>
            <w:r>
              <w:rPr>
                <w:rFonts w:hint="default" w:ascii="24" w:hAnsi="24" w:eastAsia="仿宋_GB2312" w:cs="24"/>
                <w:color w:val="000000"/>
                <w:kern w:val="0"/>
                <w:sz w:val="24"/>
                <w:szCs w:val="24"/>
                <w:lang w:bidi="ar"/>
              </w:rPr>
              <w:t>计分分值</w:t>
            </w:r>
          </w:p>
        </w:tc>
        <w:tc>
          <w:tcPr>
            <w:tcW w:w="1140" w:type="pct"/>
            <w:vMerge w:val="restart"/>
            <w:tcBorders>
              <w:top w:val="single" w:color="000000" w:sz="4" w:space="0"/>
              <w:left w:val="single" w:color="000000" w:sz="4" w:space="0"/>
              <w:bottom w:val="single" w:color="000000" w:sz="4" w:space="0"/>
              <w:right w:val="single" w:color="000000" w:sz="8" w:space="0"/>
            </w:tcBorders>
            <w:vAlign w:val="center"/>
          </w:tcPr>
          <w:p w14:paraId="417BA252">
            <w:pPr>
              <w:widowControl/>
              <w:textAlignment w:val="center"/>
              <w:rPr>
                <w:rFonts w:hint="eastAsia" w:ascii="仿宋" w:hAnsi="仿宋" w:eastAsia="仿宋" w:cs="仿宋"/>
                <w:color w:val="000000"/>
                <w:sz w:val="24"/>
              </w:rPr>
            </w:pPr>
            <w:r>
              <w:rPr>
                <w:rStyle w:val="11"/>
                <w:rFonts w:hint="default"/>
                <w:lang w:bidi="ar"/>
              </w:rPr>
              <w:t>最多计</w:t>
            </w:r>
            <w:r>
              <w:rPr>
                <w:rStyle w:val="12"/>
                <w:rFonts w:eastAsia="仿宋"/>
                <w:lang w:bidi="ar"/>
              </w:rPr>
              <w:t>2</w:t>
            </w:r>
            <w:r>
              <w:rPr>
                <w:rStyle w:val="13"/>
                <w:rFonts w:hint="default" w:hAnsi="仿宋"/>
                <w:lang w:bidi="ar"/>
              </w:rPr>
              <w:t>项。</w:t>
            </w:r>
            <w:r>
              <w:rPr>
                <w:rStyle w:val="11"/>
                <w:rFonts w:hint="default"/>
                <w:lang w:bidi="ar"/>
              </w:rPr>
              <w:t>如同一项目在大创和挑战杯分别立项，仅按最高分计</w:t>
            </w:r>
            <w:r>
              <w:rPr>
                <w:rStyle w:val="14"/>
                <w:rFonts w:eastAsia="仿宋"/>
                <w:lang w:bidi="ar"/>
              </w:rPr>
              <w:t>1</w:t>
            </w:r>
            <w:r>
              <w:rPr>
                <w:rStyle w:val="11"/>
                <w:rFonts w:hint="default"/>
                <w:color w:val="auto"/>
                <w:lang w:bidi="ar"/>
              </w:rPr>
              <w:t>次</w:t>
            </w:r>
            <w:r>
              <w:rPr>
                <w:rStyle w:val="15"/>
                <w:rFonts w:hint="default"/>
                <w:color w:val="auto"/>
                <w:lang w:bidi="ar"/>
              </w:rPr>
              <w:t>。</w:t>
            </w:r>
          </w:p>
        </w:tc>
      </w:tr>
      <w:tr w14:paraId="4A4BDA34">
        <w:tblPrEx>
          <w:tblCellMar>
            <w:top w:w="0" w:type="dxa"/>
            <w:left w:w="108" w:type="dxa"/>
            <w:bottom w:w="0" w:type="dxa"/>
            <w:right w:w="108" w:type="dxa"/>
          </w:tblCellMar>
        </w:tblPrEx>
        <w:trPr>
          <w:trHeight w:val="296" w:hRule="atLeast"/>
        </w:trPr>
        <w:tc>
          <w:tcPr>
            <w:tcW w:w="885" w:type="pct"/>
            <w:vMerge w:val="continue"/>
            <w:tcBorders>
              <w:top w:val="single" w:color="000000" w:sz="4" w:space="0"/>
              <w:left w:val="single" w:color="000000" w:sz="4" w:space="0"/>
              <w:bottom w:val="single" w:color="000000" w:sz="4" w:space="0"/>
              <w:right w:val="single" w:color="000000" w:sz="4" w:space="0"/>
            </w:tcBorders>
            <w:vAlign w:val="center"/>
          </w:tcPr>
          <w:p w14:paraId="6F338075">
            <w:pPr>
              <w:rPr>
                <w:rFonts w:hint="default" w:ascii="24" w:hAnsi="24" w:eastAsia="仿宋_GB2312" w:cs="24"/>
                <w:color w:val="000000"/>
                <w:sz w:val="24"/>
                <w:szCs w:val="24"/>
              </w:rPr>
            </w:pPr>
          </w:p>
        </w:tc>
        <w:tc>
          <w:tcPr>
            <w:tcW w:w="939" w:type="pct"/>
            <w:vMerge w:val="continue"/>
            <w:tcBorders>
              <w:top w:val="single" w:color="000000" w:sz="4" w:space="0"/>
              <w:left w:val="single" w:color="000000" w:sz="4" w:space="0"/>
              <w:bottom w:val="single" w:color="000000" w:sz="4" w:space="0"/>
              <w:right w:val="single" w:color="000000" w:sz="4" w:space="0"/>
            </w:tcBorders>
            <w:vAlign w:val="center"/>
          </w:tcPr>
          <w:p w14:paraId="25D3FBD2">
            <w:pPr>
              <w:jc w:val="center"/>
              <w:rPr>
                <w:rFonts w:hint="default" w:ascii="24" w:hAnsi="24" w:eastAsia="仿宋_GB2312" w:cs="24"/>
                <w:color w:val="000000"/>
                <w:sz w:val="24"/>
                <w:szCs w:val="24"/>
              </w:rPr>
            </w:pPr>
          </w:p>
        </w:tc>
        <w:tc>
          <w:tcPr>
            <w:tcW w:w="1050" w:type="pct"/>
            <w:tcBorders>
              <w:top w:val="single" w:color="000000" w:sz="4" w:space="0"/>
              <w:left w:val="single" w:color="000000" w:sz="4" w:space="0"/>
              <w:bottom w:val="single" w:color="000000" w:sz="4" w:space="0"/>
              <w:right w:val="single" w:color="000000" w:sz="4" w:space="0"/>
            </w:tcBorders>
            <w:vAlign w:val="center"/>
          </w:tcPr>
          <w:p w14:paraId="50706FBE">
            <w:pPr>
              <w:widowControl/>
              <w:jc w:val="center"/>
              <w:textAlignment w:val="center"/>
              <w:rPr>
                <w:rFonts w:hint="default" w:ascii="24" w:hAnsi="24" w:eastAsia="仿宋_GB2312" w:cs="24"/>
                <w:color w:val="000000"/>
                <w:sz w:val="24"/>
                <w:szCs w:val="24"/>
              </w:rPr>
            </w:pPr>
            <w:r>
              <w:rPr>
                <w:rFonts w:hint="default" w:ascii="24" w:hAnsi="24" w:eastAsia="仿宋_GB2312" w:cs="24"/>
                <w:color w:val="000000"/>
                <w:kern w:val="0"/>
                <w:sz w:val="24"/>
                <w:szCs w:val="24"/>
                <w:lang w:bidi="ar"/>
              </w:rPr>
              <w:t>项目负责人</w:t>
            </w:r>
          </w:p>
        </w:tc>
        <w:tc>
          <w:tcPr>
            <w:tcW w:w="984" w:type="pct"/>
            <w:tcBorders>
              <w:top w:val="single" w:color="000000" w:sz="4" w:space="0"/>
              <w:left w:val="single" w:color="000000" w:sz="4" w:space="0"/>
              <w:bottom w:val="single" w:color="000000" w:sz="4" w:space="0"/>
              <w:right w:val="single" w:color="000000" w:sz="4" w:space="0"/>
            </w:tcBorders>
            <w:vAlign w:val="center"/>
          </w:tcPr>
          <w:p w14:paraId="047BBEAB">
            <w:pPr>
              <w:widowControl/>
              <w:jc w:val="center"/>
              <w:textAlignment w:val="center"/>
              <w:rPr>
                <w:rFonts w:hint="default" w:ascii="24" w:hAnsi="24" w:eastAsia="仿宋_GB2312" w:cs="24"/>
                <w:color w:val="000000"/>
                <w:sz w:val="24"/>
                <w:szCs w:val="24"/>
              </w:rPr>
            </w:pPr>
            <w:r>
              <w:rPr>
                <w:rFonts w:hint="default" w:ascii="24" w:hAnsi="24" w:eastAsia="仿宋_GB2312" w:cs="24"/>
                <w:color w:val="000000"/>
                <w:kern w:val="0"/>
                <w:sz w:val="24"/>
                <w:szCs w:val="24"/>
                <w:lang w:bidi="ar"/>
              </w:rPr>
              <w:t>其他成员</w:t>
            </w:r>
          </w:p>
        </w:tc>
        <w:tc>
          <w:tcPr>
            <w:tcW w:w="1140" w:type="pct"/>
            <w:vMerge w:val="continue"/>
            <w:tcBorders>
              <w:top w:val="single" w:color="000000" w:sz="4" w:space="0"/>
              <w:left w:val="single" w:color="000000" w:sz="4" w:space="0"/>
              <w:bottom w:val="single" w:color="000000" w:sz="4" w:space="0"/>
              <w:right w:val="single" w:color="000000" w:sz="8" w:space="0"/>
            </w:tcBorders>
            <w:vAlign w:val="center"/>
          </w:tcPr>
          <w:p w14:paraId="1A4E5627">
            <w:pPr>
              <w:rPr>
                <w:rFonts w:hint="eastAsia" w:ascii="仿宋" w:hAnsi="仿宋" w:eastAsia="仿宋" w:cs="仿宋"/>
                <w:color w:val="000000"/>
                <w:sz w:val="24"/>
              </w:rPr>
            </w:pPr>
          </w:p>
        </w:tc>
      </w:tr>
      <w:tr w14:paraId="64B63B26">
        <w:tblPrEx>
          <w:tblCellMar>
            <w:top w:w="0" w:type="dxa"/>
            <w:left w:w="108" w:type="dxa"/>
            <w:bottom w:w="0" w:type="dxa"/>
            <w:right w:w="108" w:type="dxa"/>
          </w:tblCellMar>
        </w:tblPrEx>
        <w:trPr>
          <w:trHeight w:val="296" w:hRule="atLeast"/>
        </w:trPr>
        <w:tc>
          <w:tcPr>
            <w:tcW w:w="885" w:type="pct"/>
            <w:vMerge w:val="continue"/>
            <w:tcBorders>
              <w:top w:val="single" w:color="000000" w:sz="4" w:space="0"/>
              <w:left w:val="single" w:color="000000" w:sz="4" w:space="0"/>
              <w:bottom w:val="single" w:color="000000" w:sz="4" w:space="0"/>
              <w:right w:val="single" w:color="000000" w:sz="4" w:space="0"/>
            </w:tcBorders>
            <w:vAlign w:val="center"/>
          </w:tcPr>
          <w:p w14:paraId="7D191A42">
            <w:pPr>
              <w:rPr>
                <w:rFonts w:hint="default" w:ascii="24" w:hAnsi="24" w:eastAsia="仿宋_GB2312" w:cs="24"/>
                <w:color w:val="000000"/>
                <w:sz w:val="24"/>
                <w:szCs w:val="24"/>
              </w:rPr>
            </w:pPr>
          </w:p>
        </w:tc>
        <w:tc>
          <w:tcPr>
            <w:tcW w:w="939" w:type="pct"/>
            <w:tcBorders>
              <w:top w:val="single" w:color="000000" w:sz="4" w:space="0"/>
              <w:left w:val="single" w:color="000000" w:sz="4" w:space="0"/>
              <w:bottom w:val="single" w:color="000000" w:sz="4" w:space="0"/>
              <w:right w:val="single" w:color="000000" w:sz="4" w:space="0"/>
            </w:tcBorders>
            <w:vAlign w:val="center"/>
          </w:tcPr>
          <w:p w14:paraId="471150A2">
            <w:pPr>
              <w:widowControl/>
              <w:jc w:val="center"/>
              <w:textAlignment w:val="center"/>
              <w:rPr>
                <w:rFonts w:hint="default" w:ascii="24" w:hAnsi="24" w:eastAsia="仿宋_GB2312" w:cs="24"/>
                <w:color w:val="000000"/>
                <w:sz w:val="24"/>
                <w:szCs w:val="24"/>
              </w:rPr>
            </w:pPr>
            <w:r>
              <w:rPr>
                <w:rFonts w:hint="default" w:ascii="24" w:hAnsi="24" w:eastAsia="仿宋_GB2312" w:cs="24"/>
                <w:color w:val="000000"/>
                <w:kern w:val="0"/>
                <w:sz w:val="24"/>
                <w:szCs w:val="24"/>
                <w:lang w:bidi="ar"/>
              </w:rPr>
              <w:t>国家级</w:t>
            </w:r>
          </w:p>
        </w:tc>
        <w:tc>
          <w:tcPr>
            <w:tcW w:w="1050" w:type="pct"/>
            <w:tcBorders>
              <w:top w:val="single" w:color="000000" w:sz="4" w:space="0"/>
              <w:left w:val="single" w:color="000000" w:sz="4" w:space="0"/>
              <w:bottom w:val="single" w:color="000000" w:sz="4" w:space="0"/>
              <w:right w:val="single" w:color="000000" w:sz="4" w:space="0"/>
            </w:tcBorders>
            <w:vAlign w:val="center"/>
          </w:tcPr>
          <w:p w14:paraId="7E4F3E06">
            <w:pPr>
              <w:widowControl/>
              <w:jc w:val="center"/>
              <w:textAlignment w:val="center"/>
              <w:rPr>
                <w:rFonts w:hint="default" w:ascii="24" w:hAnsi="24" w:eastAsia="宋体" w:cs="24"/>
                <w:color w:val="000000"/>
                <w:sz w:val="24"/>
                <w:szCs w:val="24"/>
              </w:rPr>
            </w:pPr>
            <w:r>
              <w:rPr>
                <w:rFonts w:hint="default" w:ascii="24" w:hAnsi="24" w:eastAsia="宋体" w:cs="24"/>
                <w:color w:val="000000"/>
                <w:kern w:val="0"/>
                <w:sz w:val="24"/>
                <w:szCs w:val="24"/>
                <w:lang w:bidi="ar"/>
              </w:rPr>
              <w:t>0.15</w:t>
            </w:r>
          </w:p>
        </w:tc>
        <w:tc>
          <w:tcPr>
            <w:tcW w:w="984" w:type="pct"/>
            <w:tcBorders>
              <w:top w:val="single" w:color="000000" w:sz="4" w:space="0"/>
              <w:left w:val="single" w:color="000000" w:sz="4" w:space="0"/>
              <w:bottom w:val="single" w:color="000000" w:sz="4" w:space="0"/>
              <w:right w:val="single" w:color="000000" w:sz="4" w:space="0"/>
            </w:tcBorders>
            <w:vAlign w:val="center"/>
          </w:tcPr>
          <w:p w14:paraId="410B70F4">
            <w:pPr>
              <w:widowControl/>
              <w:jc w:val="center"/>
              <w:textAlignment w:val="center"/>
              <w:rPr>
                <w:rFonts w:hint="default" w:ascii="24" w:hAnsi="24" w:eastAsia="宋体" w:cs="24"/>
                <w:color w:val="000000"/>
                <w:sz w:val="24"/>
                <w:szCs w:val="24"/>
              </w:rPr>
            </w:pPr>
            <w:r>
              <w:rPr>
                <w:rFonts w:hint="default" w:ascii="24" w:hAnsi="24" w:eastAsia="宋体" w:cs="24"/>
                <w:color w:val="000000"/>
                <w:kern w:val="0"/>
                <w:sz w:val="24"/>
                <w:szCs w:val="24"/>
                <w:lang w:bidi="ar"/>
              </w:rPr>
              <w:t>0.05</w:t>
            </w:r>
          </w:p>
        </w:tc>
        <w:tc>
          <w:tcPr>
            <w:tcW w:w="1140" w:type="pct"/>
            <w:vMerge w:val="continue"/>
            <w:tcBorders>
              <w:top w:val="single" w:color="000000" w:sz="4" w:space="0"/>
              <w:left w:val="single" w:color="000000" w:sz="4" w:space="0"/>
              <w:bottom w:val="single" w:color="000000" w:sz="4" w:space="0"/>
              <w:right w:val="single" w:color="000000" w:sz="8" w:space="0"/>
            </w:tcBorders>
            <w:vAlign w:val="center"/>
          </w:tcPr>
          <w:p w14:paraId="6EF91562">
            <w:pPr>
              <w:rPr>
                <w:rFonts w:hint="eastAsia" w:ascii="仿宋" w:hAnsi="仿宋" w:eastAsia="仿宋" w:cs="仿宋"/>
                <w:color w:val="000000"/>
                <w:sz w:val="24"/>
              </w:rPr>
            </w:pPr>
          </w:p>
        </w:tc>
      </w:tr>
      <w:tr w14:paraId="7E4BA9D5">
        <w:tblPrEx>
          <w:tblCellMar>
            <w:top w:w="0" w:type="dxa"/>
            <w:left w:w="108" w:type="dxa"/>
            <w:bottom w:w="0" w:type="dxa"/>
            <w:right w:w="108" w:type="dxa"/>
          </w:tblCellMar>
        </w:tblPrEx>
        <w:trPr>
          <w:trHeight w:val="296" w:hRule="atLeast"/>
        </w:trPr>
        <w:tc>
          <w:tcPr>
            <w:tcW w:w="885" w:type="pct"/>
            <w:vMerge w:val="continue"/>
            <w:tcBorders>
              <w:top w:val="single" w:color="000000" w:sz="4" w:space="0"/>
              <w:left w:val="single" w:color="000000" w:sz="4" w:space="0"/>
              <w:bottom w:val="single" w:color="000000" w:sz="4" w:space="0"/>
              <w:right w:val="single" w:color="000000" w:sz="4" w:space="0"/>
            </w:tcBorders>
            <w:vAlign w:val="center"/>
          </w:tcPr>
          <w:p w14:paraId="54DC49F4">
            <w:pPr>
              <w:rPr>
                <w:rFonts w:hint="default" w:ascii="24" w:hAnsi="24" w:eastAsia="仿宋_GB2312" w:cs="24"/>
                <w:color w:val="000000"/>
                <w:sz w:val="24"/>
                <w:szCs w:val="24"/>
              </w:rPr>
            </w:pPr>
          </w:p>
        </w:tc>
        <w:tc>
          <w:tcPr>
            <w:tcW w:w="939" w:type="pct"/>
            <w:tcBorders>
              <w:top w:val="single" w:color="000000" w:sz="4" w:space="0"/>
              <w:left w:val="single" w:color="000000" w:sz="4" w:space="0"/>
              <w:bottom w:val="single" w:color="000000" w:sz="4" w:space="0"/>
              <w:right w:val="single" w:color="000000" w:sz="4" w:space="0"/>
            </w:tcBorders>
            <w:vAlign w:val="center"/>
          </w:tcPr>
          <w:p w14:paraId="220E08CF">
            <w:pPr>
              <w:widowControl/>
              <w:jc w:val="center"/>
              <w:textAlignment w:val="center"/>
              <w:rPr>
                <w:rFonts w:hint="default" w:ascii="24" w:hAnsi="24" w:eastAsia="仿宋_GB2312" w:cs="24"/>
                <w:color w:val="000000"/>
                <w:sz w:val="24"/>
                <w:szCs w:val="24"/>
              </w:rPr>
            </w:pPr>
            <w:r>
              <w:rPr>
                <w:rFonts w:hint="default" w:ascii="24" w:hAnsi="24" w:eastAsia="仿宋_GB2312" w:cs="24"/>
                <w:color w:val="000000"/>
                <w:kern w:val="0"/>
                <w:sz w:val="24"/>
                <w:szCs w:val="24"/>
                <w:lang w:bidi="ar"/>
              </w:rPr>
              <w:t>省级</w:t>
            </w:r>
          </w:p>
        </w:tc>
        <w:tc>
          <w:tcPr>
            <w:tcW w:w="1050" w:type="pct"/>
            <w:tcBorders>
              <w:top w:val="single" w:color="000000" w:sz="4" w:space="0"/>
              <w:left w:val="single" w:color="000000" w:sz="4" w:space="0"/>
              <w:bottom w:val="single" w:color="000000" w:sz="4" w:space="0"/>
              <w:right w:val="single" w:color="000000" w:sz="4" w:space="0"/>
            </w:tcBorders>
            <w:vAlign w:val="center"/>
          </w:tcPr>
          <w:p w14:paraId="0F74A7A6">
            <w:pPr>
              <w:widowControl/>
              <w:jc w:val="center"/>
              <w:textAlignment w:val="center"/>
              <w:rPr>
                <w:rFonts w:hint="default" w:ascii="24" w:hAnsi="24" w:eastAsia="宋体" w:cs="24"/>
                <w:color w:val="000000"/>
                <w:sz w:val="24"/>
                <w:szCs w:val="24"/>
              </w:rPr>
            </w:pPr>
            <w:r>
              <w:rPr>
                <w:rFonts w:hint="default" w:ascii="24" w:hAnsi="24" w:eastAsia="宋体" w:cs="24"/>
                <w:color w:val="000000"/>
                <w:kern w:val="0"/>
                <w:sz w:val="24"/>
                <w:szCs w:val="24"/>
                <w:lang w:bidi="ar"/>
              </w:rPr>
              <w:t>0.1</w:t>
            </w:r>
          </w:p>
        </w:tc>
        <w:tc>
          <w:tcPr>
            <w:tcW w:w="984" w:type="pct"/>
            <w:tcBorders>
              <w:top w:val="single" w:color="000000" w:sz="4" w:space="0"/>
              <w:left w:val="single" w:color="000000" w:sz="4" w:space="0"/>
              <w:bottom w:val="single" w:color="000000" w:sz="4" w:space="0"/>
              <w:right w:val="single" w:color="000000" w:sz="4" w:space="0"/>
            </w:tcBorders>
            <w:vAlign w:val="center"/>
          </w:tcPr>
          <w:p w14:paraId="0950327F">
            <w:pPr>
              <w:widowControl/>
              <w:jc w:val="center"/>
              <w:textAlignment w:val="center"/>
              <w:rPr>
                <w:rFonts w:hint="default" w:ascii="24" w:hAnsi="24" w:eastAsia="宋体" w:cs="24"/>
                <w:color w:val="000000"/>
                <w:sz w:val="24"/>
                <w:szCs w:val="24"/>
              </w:rPr>
            </w:pPr>
            <w:r>
              <w:rPr>
                <w:rFonts w:hint="default" w:ascii="24" w:hAnsi="24" w:eastAsia="宋体" w:cs="24"/>
                <w:color w:val="000000"/>
                <w:kern w:val="0"/>
                <w:sz w:val="24"/>
                <w:szCs w:val="24"/>
                <w:lang w:bidi="ar"/>
              </w:rPr>
              <w:t>0.03</w:t>
            </w:r>
          </w:p>
        </w:tc>
        <w:tc>
          <w:tcPr>
            <w:tcW w:w="1140" w:type="pct"/>
            <w:vMerge w:val="continue"/>
            <w:tcBorders>
              <w:top w:val="single" w:color="000000" w:sz="4" w:space="0"/>
              <w:left w:val="single" w:color="000000" w:sz="4" w:space="0"/>
              <w:bottom w:val="single" w:color="000000" w:sz="4" w:space="0"/>
              <w:right w:val="single" w:color="000000" w:sz="8" w:space="0"/>
            </w:tcBorders>
            <w:vAlign w:val="center"/>
          </w:tcPr>
          <w:p w14:paraId="64ADE589">
            <w:pPr>
              <w:rPr>
                <w:rFonts w:hint="eastAsia" w:ascii="仿宋" w:hAnsi="仿宋" w:eastAsia="仿宋" w:cs="仿宋"/>
                <w:color w:val="000000"/>
                <w:sz w:val="24"/>
              </w:rPr>
            </w:pPr>
          </w:p>
        </w:tc>
      </w:tr>
      <w:tr w14:paraId="25A60821">
        <w:tblPrEx>
          <w:tblCellMar>
            <w:top w:w="0" w:type="dxa"/>
            <w:left w:w="108" w:type="dxa"/>
            <w:bottom w:w="0" w:type="dxa"/>
            <w:right w:w="108" w:type="dxa"/>
          </w:tblCellMar>
        </w:tblPrEx>
        <w:trPr>
          <w:trHeight w:val="335" w:hRule="atLeast"/>
        </w:trPr>
        <w:tc>
          <w:tcPr>
            <w:tcW w:w="885" w:type="pct"/>
            <w:vMerge w:val="continue"/>
            <w:tcBorders>
              <w:top w:val="single" w:color="000000" w:sz="4" w:space="0"/>
              <w:left w:val="single" w:color="000000" w:sz="4" w:space="0"/>
              <w:bottom w:val="single" w:color="000000" w:sz="4" w:space="0"/>
              <w:right w:val="single" w:color="000000" w:sz="4" w:space="0"/>
            </w:tcBorders>
            <w:vAlign w:val="center"/>
          </w:tcPr>
          <w:p w14:paraId="42100F77">
            <w:pPr>
              <w:rPr>
                <w:rFonts w:hint="default" w:ascii="24" w:hAnsi="24" w:eastAsia="仿宋_GB2312" w:cs="24"/>
                <w:color w:val="000000"/>
                <w:sz w:val="24"/>
                <w:szCs w:val="24"/>
              </w:rPr>
            </w:pPr>
          </w:p>
        </w:tc>
        <w:tc>
          <w:tcPr>
            <w:tcW w:w="939" w:type="pct"/>
            <w:tcBorders>
              <w:top w:val="single" w:color="000000" w:sz="4" w:space="0"/>
              <w:left w:val="single" w:color="000000" w:sz="4" w:space="0"/>
              <w:bottom w:val="single" w:color="000000" w:sz="4" w:space="0"/>
              <w:right w:val="single" w:color="000000" w:sz="4" w:space="0"/>
            </w:tcBorders>
            <w:vAlign w:val="center"/>
          </w:tcPr>
          <w:p w14:paraId="7D2E1780">
            <w:pPr>
              <w:widowControl/>
              <w:jc w:val="center"/>
              <w:textAlignment w:val="center"/>
              <w:rPr>
                <w:rFonts w:hint="default" w:ascii="24" w:hAnsi="24" w:eastAsia="仿宋_GB2312" w:cs="24"/>
                <w:color w:val="000000"/>
                <w:sz w:val="24"/>
                <w:szCs w:val="24"/>
              </w:rPr>
            </w:pPr>
            <w:r>
              <w:rPr>
                <w:rFonts w:hint="default" w:ascii="24" w:hAnsi="24" w:eastAsia="仿宋_GB2312" w:cs="24"/>
                <w:color w:val="000000"/>
                <w:kern w:val="0"/>
                <w:sz w:val="24"/>
                <w:szCs w:val="24"/>
                <w:lang w:bidi="ar"/>
              </w:rPr>
              <w:t>校级</w:t>
            </w:r>
          </w:p>
        </w:tc>
        <w:tc>
          <w:tcPr>
            <w:tcW w:w="1050" w:type="pct"/>
            <w:tcBorders>
              <w:top w:val="single" w:color="000000" w:sz="4" w:space="0"/>
              <w:left w:val="single" w:color="000000" w:sz="4" w:space="0"/>
              <w:bottom w:val="single" w:color="000000" w:sz="4" w:space="0"/>
              <w:right w:val="single" w:color="000000" w:sz="4" w:space="0"/>
            </w:tcBorders>
            <w:vAlign w:val="center"/>
          </w:tcPr>
          <w:p w14:paraId="6C489072">
            <w:pPr>
              <w:widowControl/>
              <w:jc w:val="center"/>
              <w:textAlignment w:val="center"/>
              <w:rPr>
                <w:rFonts w:hint="default" w:ascii="24" w:hAnsi="24" w:eastAsia="宋体" w:cs="24"/>
                <w:color w:val="000000"/>
                <w:sz w:val="24"/>
                <w:szCs w:val="24"/>
              </w:rPr>
            </w:pPr>
            <w:r>
              <w:rPr>
                <w:rFonts w:hint="default" w:ascii="24" w:hAnsi="24" w:eastAsia="宋体" w:cs="24"/>
                <w:color w:val="000000"/>
                <w:kern w:val="0"/>
                <w:sz w:val="24"/>
                <w:szCs w:val="24"/>
                <w:lang w:bidi="ar"/>
              </w:rPr>
              <w:t>0.05</w:t>
            </w:r>
          </w:p>
        </w:tc>
        <w:tc>
          <w:tcPr>
            <w:tcW w:w="984" w:type="pct"/>
            <w:tcBorders>
              <w:top w:val="single" w:color="000000" w:sz="4" w:space="0"/>
              <w:left w:val="single" w:color="000000" w:sz="4" w:space="0"/>
              <w:bottom w:val="single" w:color="000000" w:sz="4" w:space="0"/>
              <w:right w:val="single" w:color="000000" w:sz="4" w:space="0"/>
            </w:tcBorders>
            <w:vAlign w:val="center"/>
          </w:tcPr>
          <w:p w14:paraId="36DA4480">
            <w:pPr>
              <w:widowControl/>
              <w:jc w:val="center"/>
              <w:textAlignment w:val="center"/>
              <w:rPr>
                <w:rFonts w:hint="default" w:ascii="24" w:hAnsi="24" w:eastAsia="宋体" w:cs="24"/>
                <w:color w:val="000000"/>
                <w:sz w:val="24"/>
                <w:szCs w:val="24"/>
              </w:rPr>
            </w:pPr>
            <w:r>
              <w:rPr>
                <w:rFonts w:hint="default" w:ascii="24" w:hAnsi="24" w:eastAsia="宋体" w:cs="24"/>
                <w:color w:val="000000"/>
                <w:kern w:val="0"/>
                <w:sz w:val="24"/>
                <w:szCs w:val="24"/>
                <w:lang w:bidi="ar"/>
              </w:rPr>
              <w:t>0.02</w:t>
            </w:r>
          </w:p>
        </w:tc>
        <w:tc>
          <w:tcPr>
            <w:tcW w:w="1140" w:type="pct"/>
            <w:vMerge w:val="continue"/>
            <w:tcBorders>
              <w:top w:val="single" w:color="000000" w:sz="4" w:space="0"/>
              <w:left w:val="single" w:color="000000" w:sz="4" w:space="0"/>
              <w:bottom w:val="single" w:color="000000" w:sz="4" w:space="0"/>
              <w:right w:val="single" w:color="000000" w:sz="8" w:space="0"/>
            </w:tcBorders>
            <w:vAlign w:val="center"/>
          </w:tcPr>
          <w:p w14:paraId="6E82A94E">
            <w:pPr>
              <w:rPr>
                <w:rFonts w:hint="eastAsia" w:ascii="仿宋" w:hAnsi="仿宋" w:eastAsia="仿宋" w:cs="仿宋"/>
                <w:color w:val="000000"/>
                <w:sz w:val="24"/>
              </w:rPr>
            </w:pPr>
          </w:p>
        </w:tc>
      </w:tr>
      <w:tr w14:paraId="21842D1A">
        <w:tblPrEx>
          <w:tblCellMar>
            <w:top w:w="0" w:type="dxa"/>
            <w:left w:w="108" w:type="dxa"/>
            <w:bottom w:w="0" w:type="dxa"/>
            <w:right w:w="108" w:type="dxa"/>
          </w:tblCellMar>
        </w:tblPrEx>
        <w:trPr>
          <w:trHeight w:val="568" w:hRule="atLeast"/>
        </w:trPr>
        <w:tc>
          <w:tcPr>
            <w:tcW w:w="885" w:type="pct"/>
            <w:tcBorders>
              <w:top w:val="single" w:color="000000" w:sz="4" w:space="0"/>
              <w:left w:val="single" w:color="000000" w:sz="4" w:space="0"/>
              <w:bottom w:val="single" w:color="000000" w:sz="4" w:space="0"/>
              <w:right w:val="single" w:color="000000" w:sz="4" w:space="0"/>
            </w:tcBorders>
            <w:vAlign w:val="center"/>
          </w:tcPr>
          <w:p w14:paraId="2BDC4DCC">
            <w:pPr>
              <w:widowControl/>
              <w:textAlignment w:val="center"/>
              <w:rPr>
                <w:rFonts w:hint="default" w:ascii="24" w:hAnsi="24" w:eastAsia="仿宋_GB2312" w:cs="24"/>
                <w:color w:val="000000"/>
                <w:sz w:val="24"/>
                <w:szCs w:val="24"/>
              </w:rPr>
            </w:pPr>
            <w:r>
              <w:rPr>
                <w:rFonts w:hint="default" w:ascii="24" w:hAnsi="24" w:eastAsia="仿宋_GB2312" w:cs="24"/>
                <w:color w:val="000000"/>
                <w:kern w:val="0"/>
                <w:sz w:val="24"/>
                <w:szCs w:val="24"/>
                <w:lang w:bidi="ar"/>
              </w:rPr>
              <w:t>挑战杯获奖</w:t>
            </w:r>
          </w:p>
        </w:tc>
        <w:tc>
          <w:tcPr>
            <w:tcW w:w="939" w:type="pct"/>
            <w:tcBorders>
              <w:top w:val="single" w:color="000000" w:sz="4" w:space="0"/>
              <w:left w:val="single" w:color="000000" w:sz="4" w:space="0"/>
              <w:bottom w:val="single" w:color="000000" w:sz="4" w:space="0"/>
              <w:right w:val="single" w:color="000000" w:sz="4" w:space="0"/>
            </w:tcBorders>
            <w:vAlign w:val="center"/>
          </w:tcPr>
          <w:p w14:paraId="3DA16327">
            <w:pPr>
              <w:widowControl/>
              <w:jc w:val="center"/>
              <w:textAlignment w:val="center"/>
              <w:rPr>
                <w:rFonts w:hint="default" w:ascii="24" w:hAnsi="24" w:eastAsia="仿宋_GB2312" w:cs="24"/>
                <w:color w:val="000000"/>
                <w:sz w:val="24"/>
                <w:szCs w:val="24"/>
              </w:rPr>
            </w:pPr>
            <w:r>
              <w:rPr>
                <w:rFonts w:hint="default" w:ascii="24" w:hAnsi="24" w:eastAsia="仿宋_GB2312" w:cs="24"/>
                <w:color w:val="000000"/>
                <w:kern w:val="0"/>
                <w:sz w:val="24"/>
                <w:szCs w:val="24"/>
                <w:lang w:bidi="ar"/>
              </w:rPr>
              <w:t>校级</w:t>
            </w:r>
          </w:p>
        </w:tc>
        <w:tc>
          <w:tcPr>
            <w:tcW w:w="1050" w:type="pct"/>
            <w:tcBorders>
              <w:top w:val="single" w:color="000000" w:sz="4" w:space="0"/>
              <w:left w:val="single" w:color="000000" w:sz="4" w:space="0"/>
              <w:bottom w:val="single" w:color="000000" w:sz="4" w:space="0"/>
              <w:right w:val="single" w:color="000000" w:sz="4" w:space="0"/>
            </w:tcBorders>
            <w:vAlign w:val="center"/>
          </w:tcPr>
          <w:p w14:paraId="7365930D">
            <w:pPr>
              <w:widowControl/>
              <w:jc w:val="center"/>
              <w:textAlignment w:val="center"/>
              <w:rPr>
                <w:rFonts w:hint="default" w:ascii="24" w:hAnsi="24" w:eastAsia="宋体" w:cs="24"/>
                <w:color w:val="000000"/>
                <w:sz w:val="24"/>
                <w:szCs w:val="24"/>
              </w:rPr>
            </w:pPr>
            <w:r>
              <w:rPr>
                <w:rFonts w:hint="default" w:ascii="24" w:hAnsi="24" w:eastAsia="宋体" w:cs="24"/>
                <w:color w:val="000000"/>
                <w:kern w:val="0"/>
                <w:sz w:val="24"/>
                <w:szCs w:val="24"/>
                <w:lang w:bidi="ar"/>
              </w:rPr>
              <w:t>0.05</w:t>
            </w:r>
          </w:p>
        </w:tc>
        <w:tc>
          <w:tcPr>
            <w:tcW w:w="984" w:type="pct"/>
            <w:tcBorders>
              <w:top w:val="single" w:color="000000" w:sz="4" w:space="0"/>
              <w:left w:val="single" w:color="000000" w:sz="4" w:space="0"/>
              <w:bottom w:val="single" w:color="000000" w:sz="4" w:space="0"/>
              <w:right w:val="single" w:color="000000" w:sz="4" w:space="0"/>
            </w:tcBorders>
            <w:vAlign w:val="center"/>
          </w:tcPr>
          <w:p w14:paraId="1AC7494B">
            <w:pPr>
              <w:widowControl/>
              <w:jc w:val="center"/>
              <w:textAlignment w:val="center"/>
              <w:rPr>
                <w:rFonts w:hint="default" w:ascii="24" w:hAnsi="24" w:eastAsia="宋体" w:cs="24"/>
                <w:color w:val="000000"/>
                <w:sz w:val="24"/>
                <w:szCs w:val="24"/>
              </w:rPr>
            </w:pPr>
            <w:r>
              <w:rPr>
                <w:rFonts w:hint="default" w:ascii="24" w:hAnsi="24" w:eastAsia="宋体" w:cs="24"/>
                <w:color w:val="000000"/>
                <w:kern w:val="0"/>
                <w:sz w:val="24"/>
                <w:szCs w:val="24"/>
                <w:lang w:bidi="ar"/>
              </w:rPr>
              <w:t>0.02</w:t>
            </w:r>
          </w:p>
        </w:tc>
        <w:tc>
          <w:tcPr>
            <w:tcW w:w="1140" w:type="pct"/>
            <w:vMerge w:val="continue"/>
            <w:tcBorders>
              <w:top w:val="single" w:color="000000" w:sz="4" w:space="0"/>
              <w:left w:val="single" w:color="000000" w:sz="4" w:space="0"/>
              <w:bottom w:val="single" w:color="000000" w:sz="4" w:space="0"/>
              <w:right w:val="single" w:color="000000" w:sz="8" w:space="0"/>
            </w:tcBorders>
            <w:vAlign w:val="center"/>
          </w:tcPr>
          <w:p w14:paraId="6A53878D">
            <w:pPr>
              <w:rPr>
                <w:rFonts w:hint="eastAsia" w:ascii="仿宋" w:hAnsi="仿宋" w:eastAsia="仿宋" w:cs="仿宋"/>
                <w:color w:val="000000"/>
                <w:sz w:val="24"/>
              </w:rPr>
            </w:pPr>
          </w:p>
        </w:tc>
      </w:tr>
    </w:tbl>
    <w:p w14:paraId="6A2F024F">
      <w:pPr>
        <w:widowControl/>
        <w:spacing w:line="560" w:lineRule="exact"/>
        <w:ind w:firstLine="320" w:firstLineChars="100"/>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bidi="ar"/>
        </w:rPr>
        <w:t>说明：科研项目负责人及成员排名以证书为准。</w:t>
      </w:r>
    </w:p>
    <w:p w14:paraId="795E1673">
      <w:pPr>
        <w:widowControl/>
        <w:numPr>
          <w:ilvl w:val="0"/>
          <w:numId w:val="0"/>
        </w:numPr>
        <w:spacing w:line="560" w:lineRule="exact"/>
        <w:ind w:firstLine="320" w:firstLineChars="100"/>
        <w:rPr>
          <w:rFonts w:hint="eastAsia" w:ascii="仿宋_GB2312" w:hAnsi="仿宋_GB2312" w:eastAsia="仿宋_GB2312" w:cs="仿宋_GB2312"/>
          <w:color w:val="000000"/>
          <w:kern w:val="0"/>
          <w:sz w:val="32"/>
          <w:szCs w:val="32"/>
          <w:lang w:val="en-US" w:eastAsia="zh-CN" w:bidi="ar"/>
        </w:rPr>
      </w:pPr>
    </w:p>
    <w:p w14:paraId="345E19FE">
      <w:pPr>
        <w:widowControl/>
        <w:numPr>
          <w:ilvl w:val="0"/>
          <w:numId w:val="1"/>
        </w:numPr>
        <w:spacing w:line="560" w:lineRule="exact"/>
        <w:ind w:left="0" w:leftChars="0" w:firstLine="640" w:firstLineChars="200"/>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社会服务（占比5%）</w:t>
      </w:r>
    </w:p>
    <w:p w14:paraId="79738977">
      <w:pPr>
        <w:spacing w:line="560" w:lineRule="exact"/>
        <w:ind w:firstLine="640" w:firstLineChars="200"/>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rPr>
        <w:t>社会服务包括参军入伍服兵役、参加志愿服务</w:t>
      </w:r>
      <w:r>
        <w:rPr>
          <w:rFonts w:hint="eastAsia" w:ascii="仿宋_GB2312" w:hAnsi="仿宋_GB2312" w:eastAsia="仿宋_GB2312" w:cs="仿宋_GB2312"/>
          <w:kern w:val="0"/>
          <w:sz w:val="32"/>
          <w:szCs w:val="32"/>
          <w:lang w:eastAsia="zh-CN"/>
        </w:rPr>
        <w:t>获得奖励</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担任团学组织成员、</w:t>
      </w:r>
      <w:r>
        <w:rPr>
          <w:rFonts w:hint="eastAsia" w:ascii="仿宋_GB2312" w:hAnsi="仿宋_GB2312" w:eastAsia="仿宋_GB2312" w:cs="仿宋_GB2312"/>
          <w:kern w:val="0"/>
          <w:sz w:val="32"/>
          <w:szCs w:val="32"/>
        </w:rPr>
        <w:t>参加国家级体育竞赛并取得优异成绩、在“思政拔尖创新人才工程”考核中获评优秀</w:t>
      </w:r>
      <w:r>
        <w:rPr>
          <w:rFonts w:hint="eastAsia" w:ascii="仿宋_GB2312" w:hAnsi="仿宋_GB2312" w:eastAsia="仿宋_GB2312" w:cs="仿宋_GB2312"/>
          <w:kern w:val="0"/>
          <w:sz w:val="32"/>
          <w:szCs w:val="32"/>
          <w:lang w:eastAsia="zh-CN"/>
        </w:rPr>
        <w:t>等</w:t>
      </w:r>
      <w:r>
        <w:rPr>
          <w:rFonts w:hint="eastAsia" w:ascii="仿宋_GB2312" w:hAnsi="仿宋_GB2312" w:eastAsia="仿宋_GB2312" w:cs="仿宋_GB2312"/>
          <w:kern w:val="0"/>
          <w:sz w:val="32"/>
          <w:szCs w:val="32"/>
        </w:rPr>
        <w:t>五个类别</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同一类别内有多项计分</w:t>
      </w:r>
      <w:r>
        <w:rPr>
          <w:rFonts w:hint="eastAsia" w:ascii="仿宋_GB2312" w:hAnsi="仿宋_GB2312" w:eastAsia="仿宋_GB2312" w:cs="仿宋_GB2312"/>
          <w:kern w:val="0"/>
          <w:sz w:val="32"/>
          <w:szCs w:val="32"/>
          <w:lang w:eastAsia="zh-CN"/>
        </w:rPr>
        <w:t>（体育类同一个竞赛项目）</w:t>
      </w:r>
      <w:r>
        <w:rPr>
          <w:rFonts w:hint="eastAsia" w:ascii="仿宋_GB2312" w:hAnsi="仿宋_GB2312" w:eastAsia="仿宋_GB2312" w:cs="仿宋_GB2312"/>
          <w:kern w:val="0"/>
          <w:sz w:val="32"/>
          <w:szCs w:val="32"/>
        </w:rPr>
        <w:t>，按最高分计一项</w:t>
      </w:r>
      <w:r>
        <w:rPr>
          <w:rFonts w:hint="eastAsia" w:ascii="仿宋_GB2312" w:hAnsi="仿宋_GB2312" w:eastAsia="仿宋_GB2312" w:cs="仿宋_GB2312"/>
          <w:kern w:val="0"/>
          <w:sz w:val="32"/>
          <w:szCs w:val="32"/>
          <w:lang w:eastAsia="zh-CN"/>
        </w:rPr>
        <w:t>。</w:t>
      </w:r>
    </w:p>
    <w:p w14:paraId="403D526C">
      <w:pPr>
        <w:widowControl/>
        <w:spacing w:line="560" w:lineRule="exact"/>
        <w:ind w:firstLine="320" w:firstLineChars="100"/>
        <w:rPr>
          <w:rFonts w:hint="eastAsia" w:ascii="仿宋_GB2312" w:hAnsi="仿宋_GB2312" w:eastAsia="仿宋_GB2312" w:cs="仿宋_GB2312"/>
          <w:color w:val="000000"/>
          <w:kern w:val="0"/>
          <w:sz w:val="32"/>
          <w:szCs w:val="32"/>
          <w:lang w:bidi="ar"/>
        </w:rPr>
      </w:pPr>
    </w:p>
    <w:p w14:paraId="7E5F6B6F">
      <w:pPr>
        <w:widowControl/>
        <w:spacing w:line="560" w:lineRule="exact"/>
        <w:ind w:firstLine="320" w:firstLineChars="100"/>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表</w:t>
      </w:r>
      <w:r>
        <w:rPr>
          <w:rFonts w:hint="eastAsia" w:ascii="仿宋_GB2312" w:hAnsi="仿宋_GB2312" w:eastAsia="仿宋_GB2312" w:cs="仿宋_GB2312"/>
          <w:color w:val="000000"/>
          <w:kern w:val="0"/>
          <w:sz w:val="32"/>
          <w:szCs w:val="32"/>
          <w:lang w:eastAsia="zh-CN" w:bidi="ar"/>
        </w:rPr>
        <w:t>四、</w:t>
      </w:r>
      <w:r>
        <w:rPr>
          <w:rFonts w:hint="eastAsia" w:ascii="仿宋_GB2312" w:hAnsi="仿宋_GB2312" w:eastAsia="仿宋_GB2312" w:cs="仿宋_GB2312"/>
          <w:color w:val="000000"/>
          <w:kern w:val="0"/>
          <w:sz w:val="32"/>
          <w:szCs w:val="32"/>
          <w:lang w:val="en-US" w:eastAsia="zh-CN" w:bidi="ar"/>
        </w:rPr>
        <w:t>社会服务</w:t>
      </w:r>
      <w:r>
        <w:rPr>
          <w:rFonts w:hint="eastAsia" w:ascii="仿宋_GB2312" w:hAnsi="仿宋_GB2312" w:eastAsia="仿宋_GB2312" w:cs="仿宋_GB2312"/>
          <w:color w:val="000000"/>
          <w:kern w:val="0"/>
          <w:sz w:val="32"/>
          <w:szCs w:val="32"/>
          <w:lang w:bidi="ar"/>
        </w:rPr>
        <w:t>计分标准</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kern w:val="0"/>
          <w:sz w:val="32"/>
          <w:szCs w:val="32"/>
        </w:rPr>
        <w:t>分/</w:t>
      </w:r>
      <w:r>
        <w:rPr>
          <w:rFonts w:hint="eastAsia" w:ascii="仿宋_GB2312" w:hAnsi="仿宋_GB2312" w:eastAsia="仿宋_GB2312" w:cs="仿宋_GB2312"/>
          <w:kern w:val="0"/>
          <w:sz w:val="32"/>
          <w:szCs w:val="32"/>
          <w:lang w:eastAsia="zh-CN"/>
        </w:rPr>
        <w:t>项</w:t>
      </w:r>
      <w:r>
        <w:rPr>
          <w:rFonts w:hint="eastAsia" w:ascii="仿宋_GB2312" w:hAnsi="仿宋_GB2312" w:eastAsia="仿宋_GB2312" w:cs="仿宋_GB2312"/>
          <w:color w:val="000000"/>
          <w:kern w:val="0"/>
          <w:sz w:val="32"/>
          <w:szCs w:val="32"/>
          <w:lang w:eastAsia="zh-CN" w:bidi="ar"/>
        </w:rPr>
        <w:t>）</w:t>
      </w:r>
    </w:p>
    <w:tbl>
      <w:tblPr>
        <w:tblStyle w:val="7"/>
        <w:tblW w:w="8819" w:type="dxa"/>
        <w:tblInd w:w="-8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292"/>
        <w:gridCol w:w="2714"/>
        <w:gridCol w:w="2270"/>
        <w:gridCol w:w="1543"/>
      </w:tblGrid>
      <w:tr w14:paraId="749ED5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3" w:hRule="atLeast"/>
        </w:trPr>
        <w:tc>
          <w:tcPr>
            <w:tcW w:w="2292" w:type="dxa"/>
            <w:tcBorders>
              <w:top w:val="single" w:color="000000" w:sz="8" w:space="0"/>
              <w:left w:val="single" w:color="000000" w:sz="4" w:space="0"/>
              <w:right w:val="single" w:color="000000" w:sz="4" w:space="0"/>
            </w:tcBorders>
            <w:shd w:val="clear" w:color="auto" w:fill="auto"/>
            <w:vAlign w:val="center"/>
          </w:tcPr>
          <w:p w14:paraId="02884145">
            <w:pPr>
              <w:keepNext w:val="0"/>
              <w:keepLines w:val="0"/>
              <w:widowControl/>
              <w:suppressLineNumbers w:val="0"/>
              <w:jc w:val="both"/>
              <w:textAlignment w:val="center"/>
              <w:rPr>
                <w:rFonts w:hint="eastAsia" w:ascii="24" w:hAnsi="24" w:eastAsia="仿宋_GB2312" w:cs="24"/>
                <w:color w:val="000000"/>
                <w:kern w:val="0"/>
                <w:sz w:val="24"/>
                <w:szCs w:val="24"/>
                <w:lang w:val="en-US" w:eastAsia="zh-CN" w:bidi="ar"/>
              </w:rPr>
            </w:pPr>
            <w:r>
              <w:rPr>
                <w:rFonts w:hint="eastAsia" w:ascii="24" w:hAnsi="24" w:eastAsia="仿宋_GB2312" w:cs="24"/>
                <w:color w:val="000000"/>
                <w:kern w:val="0"/>
                <w:sz w:val="24"/>
                <w:szCs w:val="24"/>
                <w:lang w:val="en-US" w:eastAsia="zh-CN" w:bidi="ar"/>
              </w:rPr>
              <w:t>参军入伍服兵役</w:t>
            </w:r>
          </w:p>
        </w:tc>
        <w:tc>
          <w:tcPr>
            <w:tcW w:w="4984"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14:paraId="010044C0">
            <w:pPr>
              <w:widowControl/>
              <w:jc w:val="center"/>
              <w:textAlignment w:val="center"/>
              <w:rPr>
                <w:rFonts w:hint="eastAsia" w:ascii="24" w:hAnsi="24" w:eastAsia="仿宋_GB2312" w:cs="24"/>
                <w:color w:val="000000"/>
                <w:kern w:val="0"/>
                <w:sz w:val="24"/>
                <w:szCs w:val="24"/>
                <w:lang w:val="en-US" w:eastAsia="zh-CN" w:bidi="ar"/>
              </w:rPr>
            </w:pPr>
            <w:r>
              <w:rPr>
                <w:rFonts w:hint="eastAsia" w:ascii="24" w:hAnsi="24" w:eastAsia="仿宋_GB2312" w:cs="24"/>
                <w:color w:val="000000"/>
                <w:kern w:val="0"/>
                <w:sz w:val="24"/>
                <w:szCs w:val="24"/>
                <w:lang w:val="en-US" w:eastAsia="zh-CN" w:bidi="ar"/>
              </w:rPr>
              <w:t>2</w:t>
            </w:r>
          </w:p>
        </w:tc>
        <w:tc>
          <w:tcPr>
            <w:tcW w:w="1543" w:type="dxa"/>
            <w:tcBorders>
              <w:top w:val="single" w:color="000000" w:sz="8" w:space="0"/>
              <w:left w:val="single" w:color="000000" w:sz="4" w:space="0"/>
              <w:right w:val="single" w:color="000000" w:sz="8" w:space="0"/>
            </w:tcBorders>
            <w:shd w:val="clear" w:color="auto" w:fill="auto"/>
            <w:vAlign w:val="center"/>
          </w:tcPr>
          <w:p w14:paraId="79A67E31">
            <w:pPr>
              <w:keepNext w:val="0"/>
              <w:keepLines w:val="0"/>
              <w:widowControl/>
              <w:suppressLineNumbers w:val="0"/>
              <w:jc w:val="center"/>
              <w:textAlignment w:val="center"/>
              <w:rPr>
                <w:rFonts w:hint="eastAsia" w:ascii="华文仿宋" w:hAnsi="华文仿宋" w:eastAsia="华文仿宋" w:cs="华文仿宋"/>
                <w:i w:val="0"/>
                <w:iCs w:val="0"/>
                <w:color w:val="000000"/>
                <w:kern w:val="0"/>
                <w:sz w:val="24"/>
                <w:szCs w:val="24"/>
                <w:u w:val="none"/>
                <w:lang w:val="en-US" w:eastAsia="zh-CN" w:bidi="ar"/>
              </w:rPr>
            </w:pPr>
          </w:p>
        </w:tc>
      </w:tr>
      <w:tr w14:paraId="2D7EF8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2292" w:type="dxa"/>
            <w:vMerge w:val="restart"/>
            <w:tcBorders>
              <w:top w:val="single" w:color="000000" w:sz="8" w:space="0"/>
              <w:left w:val="single" w:color="000000" w:sz="4" w:space="0"/>
              <w:right w:val="single" w:color="000000" w:sz="4" w:space="0"/>
            </w:tcBorders>
            <w:shd w:val="clear" w:color="auto" w:fill="auto"/>
            <w:vAlign w:val="center"/>
          </w:tcPr>
          <w:p w14:paraId="148285B1">
            <w:pPr>
              <w:widowControl/>
              <w:textAlignment w:val="center"/>
              <w:rPr>
                <w:rFonts w:hint="eastAsia" w:ascii="24" w:hAnsi="24" w:eastAsia="仿宋_GB2312" w:cs="24"/>
                <w:color w:val="000000"/>
                <w:kern w:val="0"/>
                <w:sz w:val="24"/>
                <w:szCs w:val="24"/>
                <w:lang w:val="en-US" w:eastAsia="zh-CN" w:bidi="ar"/>
              </w:rPr>
            </w:pPr>
            <w:r>
              <w:rPr>
                <w:rFonts w:hint="eastAsia" w:ascii="24" w:hAnsi="24" w:eastAsia="仿宋_GB2312" w:cs="24"/>
                <w:color w:val="000000"/>
                <w:kern w:val="0"/>
                <w:sz w:val="24"/>
                <w:szCs w:val="24"/>
                <w:lang w:val="en-US" w:eastAsia="zh-CN" w:bidi="ar"/>
              </w:rPr>
              <w:t>参加志愿服务获得奖励</w:t>
            </w:r>
          </w:p>
        </w:tc>
        <w:tc>
          <w:tcPr>
            <w:tcW w:w="271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D0B96E">
            <w:pPr>
              <w:widowControl/>
              <w:jc w:val="center"/>
              <w:textAlignment w:val="center"/>
              <w:rPr>
                <w:rFonts w:hint="eastAsia" w:ascii="24" w:hAnsi="24" w:eastAsia="仿宋_GB2312" w:cs="24"/>
                <w:color w:val="000000"/>
                <w:kern w:val="0"/>
                <w:sz w:val="24"/>
                <w:szCs w:val="24"/>
                <w:lang w:val="en-US" w:eastAsia="zh-CN" w:bidi="ar"/>
              </w:rPr>
            </w:pPr>
            <w:r>
              <w:rPr>
                <w:rFonts w:hint="eastAsia" w:ascii="24" w:hAnsi="24" w:eastAsia="仿宋_GB2312" w:cs="24"/>
                <w:color w:val="000000"/>
                <w:kern w:val="0"/>
                <w:sz w:val="24"/>
                <w:szCs w:val="24"/>
                <w:lang w:val="en-US" w:eastAsia="zh-CN" w:bidi="ar"/>
              </w:rPr>
              <w:t>国家级</w:t>
            </w:r>
          </w:p>
        </w:tc>
        <w:tc>
          <w:tcPr>
            <w:tcW w:w="22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6FC7D8">
            <w:pPr>
              <w:keepNext w:val="0"/>
              <w:keepLines w:val="0"/>
              <w:widowControl/>
              <w:suppressLineNumbers w:val="0"/>
              <w:jc w:val="center"/>
              <w:textAlignment w:val="center"/>
              <w:rPr>
                <w:rFonts w:hint="eastAsia" w:ascii="24" w:hAnsi="24" w:eastAsia="仿宋_GB2312" w:cs="24"/>
                <w:color w:val="000000"/>
                <w:kern w:val="0"/>
                <w:sz w:val="24"/>
                <w:szCs w:val="24"/>
                <w:lang w:val="en-US" w:eastAsia="zh-CN" w:bidi="ar"/>
              </w:rPr>
            </w:pPr>
            <w:r>
              <w:rPr>
                <w:rFonts w:hint="eastAsia" w:ascii="24" w:hAnsi="24" w:eastAsia="仿宋_GB2312" w:cs="24"/>
                <w:color w:val="000000"/>
                <w:kern w:val="0"/>
                <w:sz w:val="24"/>
                <w:szCs w:val="24"/>
                <w:lang w:val="en-US" w:eastAsia="zh-CN" w:bidi="ar"/>
              </w:rPr>
              <w:t>1</w:t>
            </w:r>
          </w:p>
        </w:tc>
        <w:tc>
          <w:tcPr>
            <w:tcW w:w="1543" w:type="dxa"/>
            <w:vMerge w:val="restart"/>
            <w:tcBorders>
              <w:top w:val="single" w:color="000000" w:sz="8" w:space="0"/>
              <w:left w:val="single" w:color="000000" w:sz="4" w:space="0"/>
              <w:right w:val="single" w:color="000000" w:sz="8" w:space="0"/>
            </w:tcBorders>
            <w:shd w:val="clear" w:color="auto" w:fill="auto"/>
            <w:vAlign w:val="center"/>
          </w:tcPr>
          <w:p w14:paraId="1B0A4717">
            <w:pPr>
              <w:keepNext w:val="0"/>
              <w:keepLines w:val="0"/>
              <w:widowControl/>
              <w:suppressLineNumbers w:val="0"/>
              <w:jc w:val="center"/>
              <w:textAlignment w:val="center"/>
              <w:rPr>
                <w:rFonts w:hint="eastAsia" w:ascii="华文仿宋" w:hAnsi="华文仿宋" w:eastAsia="华文仿宋" w:cs="华文仿宋"/>
                <w:i w:val="0"/>
                <w:iCs w:val="0"/>
                <w:color w:val="000000"/>
                <w:kern w:val="0"/>
                <w:sz w:val="24"/>
                <w:szCs w:val="24"/>
                <w:u w:val="none"/>
                <w:lang w:val="en-US" w:eastAsia="zh-CN" w:bidi="ar"/>
              </w:rPr>
            </w:pPr>
            <w:r>
              <w:rPr>
                <w:rFonts w:hint="eastAsia" w:ascii="华文仿宋" w:hAnsi="华文仿宋" w:eastAsia="华文仿宋" w:cs="华文仿宋"/>
                <w:i w:val="0"/>
                <w:iCs w:val="0"/>
                <w:color w:val="000000"/>
                <w:kern w:val="0"/>
                <w:sz w:val="24"/>
                <w:szCs w:val="24"/>
                <w:u w:val="none"/>
                <w:lang w:val="en-US" w:eastAsia="zh-CN" w:bidi="ar"/>
              </w:rPr>
              <w:t>最多计1次</w:t>
            </w:r>
          </w:p>
        </w:tc>
      </w:tr>
      <w:tr w14:paraId="796FC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7" w:hRule="atLeast"/>
        </w:trPr>
        <w:tc>
          <w:tcPr>
            <w:tcW w:w="2292" w:type="dxa"/>
            <w:vMerge w:val="continue"/>
            <w:tcBorders>
              <w:left w:val="single" w:color="000000" w:sz="4" w:space="0"/>
              <w:right w:val="single" w:color="000000" w:sz="4" w:space="0"/>
            </w:tcBorders>
            <w:shd w:val="clear" w:color="auto" w:fill="auto"/>
            <w:vAlign w:val="center"/>
          </w:tcPr>
          <w:p w14:paraId="47D63192">
            <w:pPr>
              <w:widowControl/>
              <w:textAlignment w:val="center"/>
              <w:rPr>
                <w:rFonts w:hint="eastAsia" w:ascii="24" w:hAnsi="24" w:eastAsia="仿宋_GB2312" w:cs="24"/>
                <w:color w:val="000000"/>
                <w:kern w:val="0"/>
                <w:sz w:val="24"/>
                <w:szCs w:val="24"/>
                <w:lang w:val="en-US" w:eastAsia="zh-CN" w:bidi="ar"/>
              </w:rPr>
            </w:pPr>
          </w:p>
        </w:tc>
        <w:tc>
          <w:tcPr>
            <w:tcW w:w="271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C8CB5C">
            <w:pPr>
              <w:widowControl/>
              <w:jc w:val="center"/>
              <w:textAlignment w:val="center"/>
              <w:rPr>
                <w:rFonts w:hint="eastAsia" w:ascii="24" w:hAnsi="24" w:eastAsia="仿宋_GB2312" w:cs="24"/>
                <w:color w:val="000000"/>
                <w:kern w:val="0"/>
                <w:sz w:val="24"/>
                <w:szCs w:val="24"/>
                <w:lang w:val="en-US" w:eastAsia="zh-CN" w:bidi="ar"/>
              </w:rPr>
            </w:pPr>
            <w:r>
              <w:rPr>
                <w:rFonts w:hint="eastAsia" w:ascii="24" w:hAnsi="24" w:eastAsia="仿宋_GB2312" w:cs="24"/>
                <w:color w:val="000000"/>
                <w:kern w:val="0"/>
                <w:sz w:val="24"/>
                <w:szCs w:val="24"/>
                <w:lang w:val="en-US" w:eastAsia="zh-CN" w:bidi="ar"/>
              </w:rPr>
              <w:t>省级</w:t>
            </w:r>
          </w:p>
        </w:tc>
        <w:tc>
          <w:tcPr>
            <w:tcW w:w="22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4C6D0E">
            <w:pPr>
              <w:keepNext w:val="0"/>
              <w:keepLines w:val="0"/>
              <w:widowControl/>
              <w:suppressLineNumbers w:val="0"/>
              <w:jc w:val="center"/>
              <w:textAlignment w:val="center"/>
              <w:rPr>
                <w:rFonts w:hint="eastAsia" w:ascii="24" w:hAnsi="24" w:eastAsia="仿宋_GB2312" w:cs="24"/>
                <w:color w:val="000000"/>
                <w:kern w:val="0"/>
                <w:sz w:val="24"/>
                <w:szCs w:val="24"/>
                <w:lang w:val="en-US" w:eastAsia="zh-CN" w:bidi="ar"/>
              </w:rPr>
            </w:pPr>
            <w:r>
              <w:rPr>
                <w:rFonts w:hint="eastAsia" w:ascii="24" w:hAnsi="24" w:eastAsia="仿宋_GB2312" w:cs="24"/>
                <w:color w:val="000000"/>
                <w:kern w:val="0"/>
                <w:sz w:val="24"/>
                <w:szCs w:val="24"/>
                <w:lang w:val="en-US" w:eastAsia="zh-CN" w:bidi="ar"/>
              </w:rPr>
              <w:t>0.6</w:t>
            </w:r>
          </w:p>
        </w:tc>
        <w:tc>
          <w:tcPr>
            <w:tcW w:w="1543" w:type="dxa"/>
            <w:vMerge w:val="continue"/>
            <w:tcBorders>
              <w:left w:val="single" w:color="000000" w:sz="4" w:space="0"/>
              <w:right w:val="single" w:color="000000" w:sz="8" w:space="0"/>
            </w:tcBorders>
            <w:shd w:val="clear" w:color="auto" w:fill="auto"/>
            <w:vAlign w:val="center"/>
          </w:tcPr>
          <w:p w14:paraId="61FFCC06">
            <w:pPr>
              <w:keepNext w:val="0"/>
              <w:keepLines w:val="0"/>
              <w:widowControl/>
              <w:suppressLineNumbers w:val="0"/>
              <w:jc w:val="center"/>
              <w:textAlignment w:val="center"/>
              <w:rPr>
                <w:rFonts w:hint="eastAsia" w:ascii="华文仿宋" w:hAnsi="华文仿宋" w:eastAsia="华文仿宋" w:cs="华文仿宋"/>
                <w:i w:val="0"/>
                <w:iCs w:val="0"/>
                <w:color w:val="000000"/>
                <w:kern w:val="0"/>
                <w:sz w:val="24"/>
                <w:szCs w:val="24"/>
                <w:u w:val="none"/>
                <w:lang w:val="en-US" w:eastAsia="zh-CN" w:bidi="ar"/>
              </w:rPr>
            </w:pPr>
          </w:p>
        </w:tc>
      </w:tr>
      <w:tr w14:paraId="34A37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292" w:type="dxa"/>
            <w:vMerge w:val="restart"/>
            <w:tcBorders>
              <w:top w:val="single" w:color="000000" w:sz="8" w:space="0"/>
              <w:left w:val="single" w:color="000000" w:sz="4" w:space="0"/>
              <w:right w:val="single" w:color="000000" w:sz="4" w:space="0"/>
            </w:tcBorders>
            <w:shd w:val="clear" w:color="auto" w:fill="auto"/>
            <w:vAlign w:val="center"/>
          </w:tcPr>
          <w:p w14:paraId="45B62DF8">
            <w:pPr>
              <w:widowControl/>
              <w:textAlignment w:val="center"/>
              <w:rPr>
                <w:rFonts w:hint="eastAsia" w:ascii="24" w:hAnsi="24" w:eastAsia="仿宋_GB2312" w:cs="24"/>
                <w:color w:val="000000"/>
                <w:kern w:val="0"/>
                <w:sz w:val="24"/>
                <w:szCs w:val="24"/>
                <w:lang w:val="en-US" w:eastAsia="zh-CN" w:bidi="ar"/>
              </w:rPr>
            </w:pPr>
            <w:r>
              <w:rPr>
                <w:rFonts w:hint="eastAsia" w:ascii="24" w:hAnsi="24" w:eastAsia="仿宋_GB2312" w:cs="24"/>
                <w:color w:val="000000"/>
                <w:kern w:val="0"/>
                <w:sz w:val="24"/>
                <w:szCs w:val="24"/>
                <w:lang w:val="en-US" w:eastAsia="zh-CN" w:bidi="ar"/>
              </w:rPr>
              <w:t>团学组织成员</w:t>
            </w:r>
          </w:p>
        </w:tc>
        <w:tc>
          <w:tcPr>
            <w:tcW w:w="271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6DE678">
            <w:pPr>
              <w:widowControl/>
              <w:textAlignment w:val="center"/>
              <w:rPr>
                <w:rFonts w:hint="eastAsia" w:ascii="24" w:hAnsi="24" w:eastAsia="仿宋_GB2312" w:cs="24"/>
                <w:color w:val="000000"/>
                <w:kern w:val="0"/>
                <w:sz w:val="24"/>
                <w:szCs w:val="24"/>
                <w:lang w:val="en-US" w:eastAsia="zh-CN" w:bidi="ar"/>
              </w:rPr>
            </w:pPr>
            <w:r>
              <w:rPr>
                <w:rFonts w:hint="eastAsia" w:ascii="24" w:hAnsi="24" w:eastAsia="仿宋_GB2312" w:cs="24"/>
                <w:color w:val="000000"/>
                <w:kern w:val="0"/>
                <w:sz w:val="24"/>
                <w:szCs w:val="24"/>
                <w:lang w:val="en-US" w:eastAsia="zh-CN" w:bidi="ar"/>
              </w:rPr>
              <w:t>校学生会主席团成员、校团委秘书长等</w:t>
            </w:r>
          </w:p>
        </w:tc>
        <w:tc>
          <w:tcPr>
            <w:tcW w:w="22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574728">
            <w:pPr>
              <w:widowControl/>
              <w:jc w:val="center"/>
              <w:textAlignment w:val="center"/>
              <w:rPr>
                <w:rFonts w:hint="eastAsia" w:ascii="24" w:hAnsi="24" w:eastAsia="仿宋_GB2312" w:cs="24"/>
                <w:color w:val="000000"/>
                <w:kern w:val="0"/>
                <w:sz w:val="24"/>
                <w:szCs w:val="24"/>
                <w:lang w:val="en-US" w:eastAsia="zh-CN" w:bidi="ar"/>
              </w:rPr>
            </w:pPr>
            <w:r>
              <w:rPr>
                <w:rFonts w:hint="eastAsia" w:ascii="24" w:hAnsi="24" w:eastAsia="仿宋_GB2312" w:cs="24"/>
                <w:color w:val="000000"/>
                <w:kern w:val="0"/>
                <w:sz w:val="24"/>
                <w:szCs w:val="24"/>
                <w:lang w:val="en-US" w:eastAsia="zh-CN" w:bidi="ar"/>
              </w:rPr>
              <w:t>0.08</w:t>
            </w:r>
          </w:p>
        </w:tc>
        <w:tc>
          <w:tcPr>
            <w:tcW w:w="1543" w:type="dxa"/>
            <w:vMerge w:val="restart"/>
            <w:tcBorders>
              <w:top w:val="single" w:color="000000" w:sz="8" w:space="0"/>
              <w:left w:val="single" w:color="000000" w:sz="4" w:space="0"/>
              <w:right w:val="single" w:color="000000" w:sz="8" w:space="0"/>
            </w:tcBorders>
            <w:shd w:val="clear" w:color="auto" w:fill="auto"/>
            <w:vAlign w:val="center"/>
          </w:tcPr>
          <w:p w14:paraId="7FC6CB33">
            <w:pPr>
              <w:keepNext w:val="0"/>
              <w:keepLines w:val="0"/>
              <w:widowControl/>
              <w:suppressLineNumbers w:val="0"/>
              <w:jc w:val="center"/>
              <w:textAlignment w:val="center"/>
              <w:rPr>
                <w:rFonts w:hint="eastAsia" w:ascii="华文仿宋" w:hAnsi="华文仿宋" w:eastAsia="华文仿宋" w:cs="华文仿宋"/>
                <w:i w:val="0"/>
                <w:iCs w:val="0"/>
                <w:color w:val="000000"/>
                <w:kern w:val="0"/>
                <w:sz w:val="24"/>
                <w:szCs w:val="24"/>
                <w:u w:val="none"/>
                <w:lang w:val="en-US" w:eastAsia="zh-CN" w:bidi="ar"/>
              </w:rPr>
            </w:pPr>
            <w:r>
              <w:rPr>
                <w:rFonts w:hint="eastAsia" w:ascii="华文仿宋" w:hAnsi="华文仿宋" w:eastAsia="华文仿宋" w:cs="华文仿宋"/>
                <w:i w:val="0"/>
                <w:iCs w:val="0"/>
                <w:color w:val="000000"/>
                <w:kern w:val="0"/>
                <w:sz w:val="24"/>
                <w:szCs w:val="24"/>
                <w:u w:val="none"/>
                <w:lang w:val="en-US" w:eastAsia="zh-CN" w:bidi="ar"/>
              </w:rPr>
              <w:t>曾任或现任</w:t>
            </w:r>
          </w:p>
          <w:p w14:paraId="66735705">
            <w:pPr>
              <w:keepNext w:val="0"/>
              <w:keepLines w:val="0"/>
              <w:widowControl/>
              <w:suppressLineNumbers w:val="0"/>
              <w:jc w:val="center"/>
              <w:textAlignment w:val="center"/>
              <w:rPr>
                <w:rFonts w:hint="eastAsia" w:ascii="华文仿宋" w:hAnsi="华文仿宋" w:eastAsia="华文仿宋" w:cs="华文仿宋"/>
                <w:i w:val="0"/>
                <w:iCs w:val="0"/>
                <w:color w:val="000000"/>
                <w:sz w:val="24"/>
                <w:szCs w:val="24"/>
                <w:u w:val="none"/>
              </w:rPr>
            </w:pPr>
            <w:r>
              <w:rPr>
                <w:rFonts w:hint="eastAsia" w:ascii="华文仿宋" w:hAnsi="华文仿宋" w:eastAsia="华文仿宋" w:cs="华文仿宋"/>
                <w:i w:val="0"/>
                <w:iCs w:val="0"/>
                <w:color w:val="000000"/>
                <w:kern w:val="0"/>
                <w:sz w:val="24"/>
                <w:szCs w:val="24"/>
                <w:u w:val="none"/>
                <w:lang w:val="en-US" w:eastAsia="zh-CN" w:bidi="ar"/>
              </w:rPr>
              <w:t>均可加分，只计1次。</w:t>
            </w:r>
          </w:p>
        </w:tc>
      </w:tr>
      <w:tr w14:paraId="129BBD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 w:hRule="atLeast"/>
        </w:trPr>
        <w:tc>
          <w:tcPr>
            <w:tcW w:w="2292" w:type="dxa"/>
            <w:vMerge w:val="continue"/>
            <w:tcBorders>
              <w:left w:val="single" w:color="000000" w:sz="4" w:space="0"/>
              <w:right w:val="single" w:color="000000" w:sz="4" w:space="0"/>
            </w:tcBorders>
            <w:shd w:val="clear" w:color="auto" w:fill="auto"/>
            <w:vAlign w:val="center"/>
          </w:tcPr>
          <w:p w14:paraId="4F170361">
            <w:pPr>
              <w:widowControl/>
              <w:textAlignment w:val="center"/>
              <w:rPr>
                <w:rFonts w:hint="eastAsia" w:ascii="24" w:hAnsi="24" w:eastAsia="仿宋_GB2312" w:cs="24"/>
                <w:color w:val="000000"/>
                <w:kern w:val="0"/>
                <w:sz w:val="24"/>
                <w:szCs w:val="24"/>
                <w:lang w:val="en-US" w:eastAsia="zh-CN" w:bidi="ar"/>
              </w:rPr>
            </w:pPr>
          </w:p>
        </w:tc>
        <w:tc>
          <w:tcPr>
            <w:tcW w:w="271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6A6723">
            <w:pPr>
              <w:widowControl/>
              <w:textAlignment w:val="center"/>
              <w:rPr>
                <w:rFonts w:hint="eastAsia" w:ascii="24" w:hAnsi="24" w:eastAsia="仿宋_GB2312" w:cs="24"/>
                <w:color w:val="000000"/>
                <w:kern w:val="0"/>
                <w:sz w:val="24"/>
                <w:szCs w:val="24"/>
                <w:lang w:val="en-US" w:eastAsia="zh-CN" w:bidi="ar"/>
              </w:rPr>
            </w:pPr>
            <w:r>
              <w:rPr>
                <w:rFonts w:hint="eastAsia" w:ascii="24" w:hAnsi="24" w:eastAsia="仿宋_GB2312" w:cs="24"/>
                <w:color w:val="000000"/>
                <w:kern w:val="0"/>
                <w:sz w:val="24"/>
                <w:szCs w:val="24"/>
                <w:lang w:val="en-US" w:eastAsia="zh-CN" w:bidi="ar"/>
              </w:rPr>
              <w:t>院学生会主席团成员、团委副书记、党支部副书记、班长、团支书等</w:t>
            </w:r>
          </w:p>
        </w:tc>
        <w:tc>
          <w:tcPr>
            <w:tcW w:w="22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186A56">
            <w:pPr>
              <w:keepNext w:val="0"/>
              <w:keepLines w:val="0"/>
              <w:widowControl/>
              <w:suppressLineNumbers w:val="0"/>
              <w:jc w:val="center"/>
              <w:textAlignment w:val="center"/>
              <w:rPr>
                <w:rFonts w:hint="eastAsia" w:ascii="24" w:hAnsi="24" w:eastAsia="仿宋_GB2312" w:cs="24"/>
                <w:color w:val="000000"/>
                <w:kern w:val="0"/>
                <w:sz w:val="24"/>
                <w:szCs w:val="24"/>
                <w:lang w:val="en-US" w:eastAsia="zh-CN" w:bidi="ar"/>
              </w:rPr>
            </w:pPr>
            <w:r>
              <w:rPr>
                <w:rFonts w:hint="eastAsia" w:ascii="24" w:hAnsi="24" w:eastAsia="仿宋_GB2312" w:cs="24"/>
                <w:color w:val="000000"/>
                <w:kern w:val="0"/>
                <w:sz w:val="24"/>
                <w:szCs w:val="24"/>
                <w:lang w:val="en-US" w:eastAsia="zh-CN" w:bidi="ar"/>
              </w:rPr>
              <w:t>0.05</w:t>
            </w:r>
          </w:p>
        </w:tc>
        <w:tc>
          <w:tcPr>
            <w:tcW w:w="1543" w:type="dxa"/>
            <w:vMerge w:val="continue"/>
            <w:tcBorders>
              <w:left w:val="single" w:color="000000" w:sz="4" w:space="0"/>
              <w:right w:val="single" w:color="000000" w:sz="8" w:space="0"/>
            </w:tcBorders>
            <w:shd w:val="clear" w:color="auto" w:fill="auto"/>
            <w:vAlign w:val="center"/>
          </w:tcPr>
          <w:p w14:paraId="63426D77">
            <w:pPr>
              <w:keepNext w:val="0"/>
              <w:keepLines w:val="0"/>
              <w:widowControl/>
              <w:suppressLineNumbers w:val="0"/>
              <w:jc w:val="center"/>
              <w:textAlignment w:val="center"/>
              <w:rPr>
                <w:rFonts w:hint="eastAsia" w:ascii="华文仿宋" w:hAnsi="华文仿宋" w:eastAsia="华文仿宋" w:cs="华文仿宋"/>
                <w:i w:val="0"/>
                <w:iCs w:val="0"/>
                <w:color w:val="000000"/>
                <w:sz w:val="24"/>
                <w:szCs w:val="24"/>
                <w:u w:val="none"/>
              </w:rPr>
            </w:pPr>
          </w:p>
        </w:tc>
      </w:tr>
      <w:tr w14:paraId="294DA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2292" w:type="dxa"/>
            <w:vMerge w:val="continue"/>
            <w:tcBorders>
              <w:left w:val="single" w:color="000000" w:sz="4" w:space="0"/>
              <w:right w:val="single" w:color="000000" w:sz="4" w:space="0"/>
            </w:tcBorders>
            <w:shd w:val="clear" w:color="auto" w:fill="auto"/>
            <w:vAlign w:val="center"/>
          </w:tcPr>
          <w:p w14:paraId="663D0C84">
            <w:pPr>
              <w:jc w:val="center"/>
              <w:rPr>
                <w:rFonts w:hint="eastAsia" w:ascii="24" w:hAnsi="24" w:eastAsia="仿宋_GB2312" w:cs="24"/>
                <w:color w:val="000000"/>
                <w:kern w:val="0"/>
                <w:sz w:val="24"/>
                <w:szCs w:val="24"/>
                <w:lang w:val="en-US" w:eastAsia="zh-CN" w:bidi="ar"/>
              </w:rPr>
            </w:pPr>
          </w:p>
        </w:tc>
        <w:tc>
          <w:tcPr>
            <w:tcW w:w="27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E4B8E">
            <w:pPr>
              <w:widowControl/>
              <w:textAlignment w:val="center"/>
              <w:rPr>
                <w:rFonts w:hint="eastAsia" w:ascii="24" w:hAnsi="24" w:eastAsia="仿宋_GB2312" w:cs="24"/>
                <w:color w:val="000000"/>
                <w:kern w:val="0"/>
                <w:sz w:val="24"/>
                <w:szCs w:val="24"/>
                <w:lang w:val="en-US" w:eastAsia="zh-CN" w:bidi="ar"/>
              </w:rPr>
            </w:pPr>
            <w:r>
              <w:rPr>
                <w:rFonts w:hint="eastAsia" w:ascii="24" w:hAnsi="24" w:eastAsia="仿宋_GB2312" w:cs="24"/>
                <w:color w:val="000000"/>
                <w:kern w:val="0"/>
                <w:sz w:val="24"/>
                <w:szCs w:val="24"/>
                <w:lang w:val="en-US" w:eastAsia="zh-CN" w:bidi="ar"/>
              </w:rPr>
              <w:t>校学代会常委、校/院团委学生会部门负责人等</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13987">
            <w:pPr>
              <w:keepNext w:val="0"/>
              <w:keepLines w:val="0"/>
              <w:widowControl/>
              <w:suppressLineNumbers w:val="0"/>
              <w:jc w:val="center"/>
              <w:textAlignment w:val="center"/>
              <w:rPr>
                <w:rFonts w:hint="eastAsia" w:ascii="24" w:hAnsi="24" w:eastAsia="仿宋_GB2312" w:cs="24"/>
                <w:color w:val="000000"/>
                <w:kern w:val="0"/>
                <w:sz w:val="24"/>
                <w:szCs w:val="24"/>
                <w:lang w:val="en-US" w:eastAsia="zh-CN" w:bidi="ar"/>
              </w:rPr>
            </w:pPr>
            <w:r>
              <w:rPr>
                <w:rFonts w:hint="eastAsia" w:ascii="24" w:hAnsi="24" w:eastAsia="仿宋_GB2312" w:cs="24"/>
                <w:color w:val="000000"/>
                <w:kern w:val="0"/>
                <w:sz w:val="24"/>
                <w:szCs w:val="24"/>
                <w:lang w:val="en-US" w:eastAsia="zh-CN" w:bidi="ar"/>
              </w:rPr>
              <w:t>0.03</w:t>
            </w:r>
          </w:p>
        </w:tc>
        <w:tc>
          <w:tcPr>
            <w:tcW w:w="1543" w:type="dxa"/>
            <w:vMerge w:val="continue"/>
            <w:tcBorders>
              <w:left w:val="single" w:color="000000" w:sz="4" w:space="0"/>
              <w:right w:val="single" w:color="000000" w:sz="8" w:space="0"/>
            </w:tcBorders>
            <w:shd w:val="clear" w:color="auto" w:fill="auto"/>
            <w:vAlign w:val="center"/>
          </w:tcPr>
          <w:p w14:paraId="0B610073">
            <w:pPr>
              <w:jc w:val="center"/>
              <w:rPr>
                <w:rFonts w:hint="eastAsia" w:ascii="华文仿宋" w:hAnsi="华文仿宋" w:eastAsia="华文仿宋" w:cs="华文仿宋"/>
                <w:i w:val="0"/>
                <w:iCs w:val="0"/>
                <w:color w:val="000000"/>
                <w:sz w:val="24"/>
                <w:szCs w:val="24"/>
                <w:u w:val="none"/>
              </w:rPr>
            </w:pPr>
          </w:p>
        </w:tc>
      </w:tr>
      <w:tr w14:paraId="25B6EA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2292" w:type="dxa"/>
            <w:vMerge w:val="continue"/>
            <w:tcBorders>
              <w:left w:val="single" w:color="000000" w:sz="4" w:space="0"/>
              <w:right w:val="single" w:color="000000" w:sz="4" w:space="0"/>
            </w:tcBorders>
            <w:shd w:val="clear" w:color="auto" w:fill="auto"/>
            <w:vAlign w:val="center"/>
          </w:tcPr>
          <w:p w14:paraId="12347F72">
            <w:pPr>
              <w:jc w:val="center"/>
              <w:rPr>
                <w:rFonts w:hint="eastAsia" w:ascii="24" w:hAnsi="24" w:eastAsia="仿宋_GB2312" w:cs="24"/>
                <w:color w:val="000000"/>
                <w:kern w:val="0"/>
                <w:sz w:val="24"/>
                <w:szCs w:val="24"/>
                <w:lang w:val="en-US" w:eastAsia="zh-CN" w:bidi="ar"/>
              </w:rPr>
            </w:pPr>
          </w:p>
        </w:tc>
        <w:tc>
          <w:tcPr>
            <w:tcW w:w="2714" w:type="dxa"/>
            <w:tcBorders>
              <w:top w:val="single" w:color="000000" w:sz="4" w:space="0"/>
              <w:left w:val="single" w:color="000000" w:sz="4" w:space="0"/>
              <w:right w:val="single" w:color="000000" w:sz="4" w:space="0"/>
            </w:tcBorders>
            <w:shd w:val="clear" w:color="auto" w:fill="auto"/>
            <w:vAlign w:val="center"/>
          </w:tcPr>
          <w:p w14:paraId="450CA9F0">
            <w:pPr>
              <w:widowControl/>
              <w:textAlignment w:val="center"/>
              <w:rPr>
                <w:rFonts w:hint="eastAsia" w:ascii="24" w:hAnsi="24" w:eastAsia="仿宋_GB2312" w:cs="24"/>
                <w:color w:val="000000"/>
                <w:kern w:val="0"/>
                <w:sz w:val="24"/>
                <w:szCs w:val="24"/>
                <w:lang w:val="en-US" w:eastAsia="zh-CN" w:bidi="ar"/>
              </w:rPr>
            </w:pPr>
            <w:r>
              <w:rPr>
                <w:rFonts w:hint="eastAsia" w:ascii="24" w:hAnsi="24" w:eastAsia="仿宋_GB2312" w:cs="24"/>
                <w:color w:val="000000"/>
                <w:kern w:val="0"/>
                <w:sz w:val="24"/>
                <w:szCs w:val="24"/>
                <w:lang w:val="en-US" w:eastAsia="zh-CN" w:bidi="ar"/>
              </w:rPr>
              <w:t>其他学生干部</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A2918">
            <w:pPr>
              <w:keepNext w:val="0"/>
              <w:keepLines w:val="0"/>
              <w:widowControl/>
              <w:suppressLineNumbers w:val="0"/>
              <w:jc w:val="center"/>
              <w:textAlignment w:val="center"/>
              <w:rPr>
                <w:rFonts w:hint="eastAsia" w:ascii="24" w:hAnsi="24" w:eastAsia="仿宋_GB2312" w:cs="24"/>
                <w:color w:val="000000"/>
                <w:kern w:val="0"/>
                <w:sz w:val="24"/>
                <w:szCs w:val="24"/>
                <w:lang w:val="en-US" w:eastAsia="zh-CN" w:bidi="ar"/>
              </w:rPr>
            </w:pPr>
            <w:r>
              <w:rPr>
                <w:rFonts w:hint="eastAsia" w:ascii="24" w:hAnsi="24" w:eastAsia="仿宋_GB2312" w:cs="24"/>
                <w:color w:val="000000"/>
                <w:kern w:val="0"/>
                <w:sz w:val="24"/>
                <w:szCs w:val="24"/>
                <w:lang w:val="en-US" w:eastAsia="zh-CN" w:bidi="ar"/>
              </w:rPr>
              <w:t>0.02</w:t>
            </w:r>
          </w:p>
        </w:tc>
        <w:tc>
          <w:tcPr>
            <w:tcW w:w="1543" w:type="dxa"/>
            <w:vMerge w:val="continue"/>
            <w:tcBorders>
              <w:left w:val="single" w:color="000000" w:sz="4" w:space="0"/>
              <w:right w:val="single" w:color="000000" w:sz="8" w:space="0"/>
            </w:tcBorders>
            <w:shd w:val="clear" w:color="auto" w:fill="auto"/>
            <w:vAlign w:val="center"/>
          </w:tcPr>
          <w:p w14:paraId="6954266D">
            <w:pPr>
              <w:jc w:val="center"/>
              <w:rPr>
                <w:rFonts w:hint="eastAsia" w:ascii="华文仿宋" w:hAnsi="华文仿宋" w:eastAsia="华文仿宋" w:cs="华文仿宋"/>
                <w:i w:val="0"/>
                <w:iCs w:val="0"/>
                <w:color w:val="000000"/>
                <w:sz w:val="24"/>
                <w:szCs w:val="24"/>
                <w:u w:val="none"/>
              </w:rPr>
            </w:pPr>
          </w:p>
        </w:tc>
      </w:tr>
      <w:tr w14:paraId="6834B3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7" w:hRule="atLeast"/>
        </w:trPr>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964013">
            <w:pPr>
              <w:widowControl/>
              <w:textAlignment w:val="center"/>
              <w:rPr>
                <w:rFonts w:hint="eastAsia" w:ascii="24" w:hAnsi="24" w:eastAsia="仿宋_GB2312" w:cs="24"/>
                <w:color w:val="000000"/>
                <w:kern w:val="0"/>
                <w:sz w:val="24"/>
                <w:szCs w:val="24"/>
                <w:lang w:val="en-US" w:eastAsia="zh-CN" w:bidi="ar"/>
              </w:rPr>
            </w:pPr>
            <w:r>
              <w:rPr>
                <w:rFonts w:hint="eastAsia" w:ascii="24" w:hAnsi="24" w:eastAsia="仿宋_GB2312" w:cs="24"/>
                <w:color w:val="000000"/>
                <w:kern w:val="0"/>
                <w:sz w:val="24"/>
                <w:szCs w:val="24"/>
                <w:lang w:val="en-US" w:eastAsia="zh-CN" w:bidi="ar"/>
              </w:rPr>
              <w:t>国家级体育竞赛获奖</w:t>
            </w:r>
          </w:p>
        </w:tc>
        <w:tc>
          <w:tcPr>
            <w:tcW w:w="27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45F40">
            <w:pPr>
              <w:widowControl/>
              <w:jc w:val="center"/>
              <w:textAlignment w:val="center"/>
              <w:rPr>
                <w:rFonts w:hint="eastAsia" w:ascii="24" w:hAnsi="24" w:eastAsia="仿宋_GB2312" w:cs="24"/>
                <w:color w:val="000000"/>
                <w:kern w:val="0"/>
                <w:sz w:val="24"/>
                <w:szCs w:val="24"/>
                <w:lang w:val="en-US" w:eastAsia="zh-CN" w:bidi="ar"/>
              </w:rPr>
            </w:pPr>
            <w:r>
              <w:rPr>
                <w:rFonts w:hint="eastAsia" w:ascii="24" w:hAnsi="24" w:eastAsia="仿宋_GB2312" w:cs="24"/>
                <w:color w:val="000000"/>
                <w:kern w:val="0"/>
                <w:sz w:val="24"/>
                <w:szCs w:val="24"/>
                <w:lang w:val="en-US" w:eastAsia="zh-CN" w:bidi="ar"/>
              </w:rPr>
              <w:t>第一名</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E7BF4">
            <w:pPr>
              <w:keepNext w:val="0"/>
              <w:keepLines w:val="0"/>
              <w:widowControl/>
              <w:suppressLineNumbers w:val="0"/>
              <w:jc w:val="center"/>
              <w:textAlignment w:val="center"/>
              <w:rPr>
                <w:rFonts w:hint="default" w:ascii="24" w:hAnsi="24" w:eastAsia="仿宋_GB2312" w:cs="24"/>
                <w:color w:val="000000"/>
                <w:kern w:val="0"/>
                <w:sz w:val="24"/>
                <w:szCs w:val="24"/>
                <w:lang w:val="en-US" w:eastAsia="zh-CN" w:bidi="ar"/>
              </w:rPr>
            </w:pPr>
            <w:r>
              <w:rPr>
                <w:rFonts w:hint="eastAsia" w:ascii="24" w:hAnsi="24" w:eastAsia="仿宋_GB2312" w:cs="24"/>
                <w:color w:val="000000"/>
                <w:kern w:val="0"/>
                <w:sz w:val="24"/>
                <w:szCs w:val="24"/>
                <w:lang w:val="en-US" w:eastAsia="zh-CN" w:bidi="ar"/>
              </w:rPr>
              <w:t>1</w:t>
            </w:r>
          </w:p>
        </w:tc>
        <w:tc>
          <w:tcPr>
            <w:tcW w:w="1543" w:type="dxa"/>
            <w:vMerge w:val="restart"/>
            <w:tcBorders>
              <w:top w:val="single" w:color="000000" w:sz="4" w:space="0"/>
              <w:left w:val="single" w:color="000000" w:sz="4" w:space="0"/>
              <w:bottom w:val="single" w:color="000000" w:sz="4" w:space="0"/>
              <w:right w:val="single" w:color="000000" w:sz="8" w:space="0"/>
            </w:tcBorders>
            <w:shd w:val="clear" w:color="auto" w:fill="auto"/>
            <w:noWrap/>
            <w:vAlign w:val="center"/>
          </w:tcPr>
          <w:p w14:paraId="63807A84">
            <w:pPr>
              <w:rPr>
                <w:rFonts w:hint="eastAsia" w:ascii="华文仿宋" w:hAnsi="华文仿宋" w:eastAsia="华文仿宋" w:cs="华文仿宋"/>
                <w:i w:val="0"/>
                <w:iCs w:val="0"/>
                <w:color w:val="000000"/>
                <w:sz w:val="24"/>
                <w:szCs w:val="24"/>
                <w:u w:val="none"/>
                <w:lang w:eastAsia="zh-CN"/>
              </w:rPr>
            </w:pPr>
            <w:r>
              <w:rPr>
                <w:rFonts w:hint="eastAsia" w:ascii="24" w:hAnsi="24" w:eastAsia="仿宋_GB2312" w:cs="24"/>
                <w:color w:val="000000"/>
                <w:kern w:val="0"/>
                <w:sz w:val="24"/>
                <w:szCs w:val="24"/>
                <w:lang w:val="en-US" w:eastAsia="zh-CN" w:bidi="ar"/>
              </w:rPr>
              <w:t>根据学校当年政策和相关专业学院标准变化进行调整。</w:t>
            </w:r>
          </w:p>
        </w:tc>
      </w:tr>
      <w:tr w14:paraId="7B272A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trPr>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559204">
            <w:pPr>
              <w:widowControl/>
              <w:textAlignment w:val="center"/>
              <w:rPr>
                <w:rFonts w:hint="eastAsia" w:ascii="24" w:hAnsi="24" w:eastAsia="仿宋_GB2312" w:cs="24"/>
                <w:color w:val="000000"/>
                <w:kern w:val="0"/>
                <w:sz w:val="24"/>
                <w:szCs w:val="24"/>
                <w:lang w:val="en-US" w:eastAsia="zh-CN" w:bidi="ar"/>
              </w:rPr>
            </w:pPr>
          </w:p>
        </w:tc>
        <w:tc>
          <w:tcPr>
            <w:tcW w:w="27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CAF1D">
            <w:pPr>
              <w:widowControl/>
              <w:jc w:val="center"/>
              <w:textAlignment w:val="center"/>
              <w:rPr>
                <w:rFonts w:hint="eastAsia" w:ascii="24" w:hAnsi="24" w:eastAsia="仿宋_GB2312" w:cs="24"/>
                <w:color w:val="000000"/>
                <w:kern w:val="0"/>
                <w:sz w:val="24"/>
                <w:szCs w:val="24"/>
                <w:lang w:val="en-US" w:eastAsia="zh-CN" w:bidi="ar"/>
              </w:rPr>
            </w:pPr>
            <w:r>
              <w:rPr>
                <w:rFonts w:hint="eastAsia" w:ascii="24" w:hAnsi="24" w:eastAsia="仿宋_GB2312" w:cs="24"/>
                <w:color w:val="000000"/>
                <w:kern w:val="0"/>
                <w:sz w:val="24"/>
                <w:szCs w:val="24"/>
                <w:lang w:val="en-US" w:eastAsia="zh-CN" w:bidi="ar"/>
              </w:rPr>
              <w:t>第二名</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42782">
            <w:pPr>
              <w:widowControl/>
              <w:jc w:val="center"/>
              <w:textAlignment w:val="center"/>
              <w:rPr>
                <w:rFonts w:hint="default" w:ascii="24" w:hAnsi="24" w:eastAsia="仿宋_GB2312" w:cs="24"/>
                <w:color w:val="000000"/>
                <w:kern w:val="0"/>
                <w:sz w:val="24"/>
                <w:szCs w:val="24"/>
                <w:lang w:val="en-US" w:eastAsia="zh-CN" w:bidi="ar"/>
              </w:rPr>
            </w:pPr>
            <w:r>
              <w:rPr>
                <w:rFonts w:hint="eastAsia" w:ascii="24" w:hAnsi="24" w:eastAsia="仿宋_GB2312" w:cs="24"/>
                <w:color w:val="000000"/>
                <w:kern w:val="0"/>
                <w:sz w:val="24"/>
                <w:szCs w:val="24"/>
                <w:lang w:val="en-US" w:eastAsia="zh-CN" w:bidi="ar"/>
              </w:rPr>
              <w:t>0.6</w:t>
            </w:r>
          </w:p>
        </w:tc>
        <w:tc>
          <w:tcPr>
            <w:tcW w:w="1543" w:type="dxa"/>
            <w:vMerge w:val="continue"/>
            <w:tcBorders>
              <w:top w:val="single" w:color="000000" w:sz="4" w:space="0"/>
              <w:left w:val="single" w:color="000000" w:sz="4" w:space="0"/>
              <w:bottom w:val="single" w:color="000000" w:sz="4" w:space="0"/>
              <w:right w:val="single" w:color="000000" w:sz="8" w:space="0"/>
            </w:tcBorders>
            <w:shd w:val="clear" w:color="auto" w:fill="auto"/>
            <w:noWrap/>
            <w:vAlign w:val="center"/>
          </w:tcPr>
          <w:p w14:paraId="44B75779">
            <w:pPr>
              <w:keepNext w:val="0"/>
              <w:keepLines w:val="0"/>
              <w:widowControl/>
              <w:suppressLineNumbers w:val="0"/>
              <w:jc w:val="center"/>
              <w:textAlignment w:val="center"/>
              <w:rPr>
                <w:rFonts w:hint="eastAsia" w:ascii="华文仿宋" w:hAnsi="华文仿宋" w:eastAsia="华文仿宋" w:cs="华文仿宋"/>
                <w:sz w:val="24"/>
                <w:szCs w:val="24"/>
              </w:rPr>
            </w:pPr>
          </w:p>
        </w:tc>
      </w:tr>
      <w:tr w14:paraId="6F568D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 w:hRule="atLeast"/>
        </w:trPr>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B37985">
            <w:pPr>
              <w:widowControl/>
              <w:textAlignment w:val="center"/>
              <w:rPr>
                <w:rFonts w:hint="eastAsia" w:ascii="24" w:hAnsi="24" w:eastAsia="仿宋_GB2312" w:cs="24"/>
                <w:color w:val="000000"/>
                <w:kern w:val="0"/>
                <w:sz w:val="24"/>
                <w:szCs w:val="24"/>
                <w:lang w:val="en-US" w:eastAsia="zh-CN" w:bidi="ar"/>
              </w:rPr>
            </w:pPr>
          </w:p>
        </w:tc>
        <w:tc>
          <w:tcPr>
            <w:tcW w:w="27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A2F04">
            <w:pPr>
              <w:widowControl/>
              <w:jc w:val="center"/>
              <w:textAlignment w:val="center"/>
              <w:rPr>
                <w:rFonts w:hint="eastAsia" w:ascii="24" w:hAnsi="24" w:eastAsia="仿宋_GB2312" w:cs="24"/>
                <w:color w:val="000000"/>
                <w:kern w:val="0"/>
                <w:sz w:val="24"/>
                <w:szCs w:val="24"/>
                <w:lang w:val="en-US" w:eastAsia="zh-CN" w:bidi="ar"/>
              </w:rPr>
            </w:pPr>
            <w:r>
              <w:rPr>
                <w:rFonts w:hint="eastAsia" w:ascii="24" w:hAnsi="24" w:eastAsia="仿宋_GB2312" w:cs="24"/>
                <w:color w:val="000000"/>
                <w:kern w:val="0"/>
                <w:sz w:val="24"/>
                <w:szCs w:val="24"/>
                <w:lang w:val="en-US" w:eastAsia="zh-CN" w:bidi="ar"/>
              </w:rPr>
              <w:t>第三名</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027A5">
            <w:pPr>
              <w:widowControl/>
              <w:jc w:val="center"/>
              <w:textAlignment w:val="center"/>
              <w:rPr>
                <w:rFonts w:hint="default" w:ascii="24" w:hAnsi="24" w:eastAsia="仿宋_GB2312" w:cs="24"/>
                <w:color w:val="000000"/>
                <w:kern w:val="0"/>
                <w:sz w:val="21"/>
                <w:szCs w:val="21"/>
                <w:lang w:val="en-US" w:eastAsia="zh-CN" w:bidi="ar"/>
              </w:rPr>
            </w:pPr>
            <w:r>
              <w:rPr>
                <w:rFonts w:hint="eastAsia" w:ascii="24" w:hAnsi="24" w:eastAsia="仿宋_GB2312" w:cs="24"/>
                <w:color w:val="000000"/>
                <w:kern w:val="0"/>
                <w:sz w:val="24"/>
                <w:szCs w:val="24"/>
                <w:lang w:val="en-US" w:eastAsia="zh-CN" w:bidi="ar"/>
              </w:rPr>
              <w:t>0.3</w:t>
            </w:r>
          </w:p>
        </w:tc>
        <w:tc>
          <w:tcPr>
            <w:tcW w:w="1543" w:type="dxa"/>
            <w:vMerge w:val="continue"/>
            <w:tcBorders>
              <w:top w:val="single" w:color="000000" w:sz="4" w:space="0"/>
              <w:left w:val="single" w:color="000000" w:sz="4" w:space="0"/>
              <w:bottom w:val="single" w:color="000000" w:sz="4" w:space="0"/>
              <w:right w:val="single" w:color="000000" w:sz="8" w:space="0"/>
            </w:tcBorders>
            <w:shd w:val="clear" w:color="auto" w:fill="auto"/>
            <w:noWrap/>
            <w:vAlign w:val="center"/>
          </w:tcPr>
          <w:p w14:paraId="310459DC">
            <w:pPr>
              <w:keepNext w:val="0"/>
              <w:keepLines w:val="0"/>
              <w:widowControl/>
              <w:suppressLineNumbers w:val="0"/>
              <w:jc w:val="center"/>
              <w:textAlignment w:val="center"/>
              <w:rPr>
                <w:rFonts w:hint="eastAsia" w:ascii="华文仿宋" w:hAnsi="华文仿宋" w:eastAsia="华文仿宋" w:cs="华文仿宋"/>
                <w:sz w:val="24"/>
                <w:szCs w:val="24"/>
              </w:rPr>
            </w:pPr>
          </w:p>
        </w:tc>
      </w:tr>
      <w:tr w14:paraId="5AE14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1" w:hRule="atLeast"/>
        </w:trPr>
        <w:tc>
          <w:tcPr>
            <w:tcW w:w="2292" w:type="dxa"/>
            <w:tcBorders>
              <w:top w:val="single" w:color="000000" w:sz="4" w:space="0"/>
              <w:left w:val="single" w:color="000000" w:sz="4" w:space="0"/>
              <w:bottom w:val="single" w:color="000000" w:sz="8" w:space="0"/>
              <w:right w:val="single" w:color="000000" w:sz="4" w:space="0"/>
            </w:tcBorders>
            <w:shd w:val="clear" w:color="auto" w:fill="auto"/>
            <w:vAlign w:val="center"/>
          </w:tcPr>
          <w:p w14:paraId="7CF99F1D">
            <w:pPr>
              <w:keepNext w:val="0"/>
              <w:keepLines w:val="0"/>
              <w:widowControl/>
              <w:suppressLineNumbers w:val="0"/>
              <w:jc w:val="both"/>
              <w:textAlignment w:val="center"/>
              <w:rPr>
                <w:rFonts w:hint="eastAsia" w:ascii="24" w:hAnsi="24" w:eastAsia="仿宋_GB2312" w:cs="24"/>
                <w:color w:val="000000"/>
                <w:kern w:val="0"/>
                <w:sz w:val="24"/>
                <w:szCs w:val="24"/>
                <w:lang w:val="en-US" w:eastAsia="zh-CN" w:bidi="ar"/>
              </w:rPr>
            </w:pPr>
            <w:r>
              <w:rPr>
                <w:rFonts w:hint="eastAsia" w:ascii="24" w:hAnsi="24" w:eastAsia="仿宋_GB2312" w:cs="24"/>
                <w:color w:val="000000"/>
                <w:kern w:val="0"/>
                <w:sz w:val="24"/>
                <w:szCs w:val="24"/>
                <w:lang w:val="en-US" w:eastAsia="zh-CN" w:bidi="ar"/>
              </w:rPr>
              <w:t>思政拔尖创新人才培养工程获评优秀</w:t>
            </w:r>
          </w:p>
        </w:tc>
        <w:tc>
          <w:tcPr>
            <w:tcW w:w="4984"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14:paraId="15DAE0CC">
            <w:pPr>
              <w:keepNext w:val="0"/>
              <w:keepLines w:val="0"/>
              <w:widowControl/>
              <w:suppressLineNumbers w:val="0"/>
              <w:jc w:val="center"/>
              <w:textAlignment w:val="center"/>
              <w:rPr>
                <w:rFonts w:hint="default" w:ascii="24" w:hAnsi="24" w:eastAsia="仿宋_GB2312" w:cs="24"/>
                <w:color w:val="000000"/>
                <w:kern w:val="0"/>
                <w:sz w:val="24"/>
                <w:szCs w:val="24"/>
                <w:lang w:val="en-US" w:eastAsia="zh-CN" w:bidi="ar"/>
              </w:rPr>
            </w:pPr>
            <w:r>
              <w:rPr>
                <w:rFonts w:hint="eastAsia" w:ascii="24" w:hAnsi="24" w:eastAsia="仿宋_GB2312" w:cs="24"/>
                <w:color w:val="000000"/>
                <w:kern w:val="0"/>
                <w:sz w:val="24"/>
                <w:szCs w:val="24"/>
                <w:lang w:val="en-US" w:eastAsia="zh-CN" w:bidi="ar"/>
              </w:rPr>
              <w:t>1</w:t>
            </w:r>
            <w:bookmarkStart w:id="0" w:name="_GoBack"/>
            <w:bookmarkEnd w:id="0"/>
          </w:p>
        </w:tc>
        <w:tc>
          <w:tcPr>
            <w:tcW w:w="1543" w:type="dxa"/>
            <w:tcBorders>
              <w:top w:val="single" w:color="000000" w:sz="4" w:space="0"/>
              <w:left w:val="single" w:color="000000" w:sz="4" w:space="0"/>
              <w:bottom w:val="single" w:color="000000" w:sz="8" w:space="0"/>
              <w:right w:val="single" w:color="000000" w:sz="8" w:space="0"/>
            </w:tcBorders>
            <w:shd w:val="clear" w:color="auto" w:fill="auto"/>
            <w:noWrap/>
            <w:vAlign w:val="center"/>
          </w:tcPr>
          <w:p w14:paraId="5889621F">
            <w:pPr>
              <w:rPr>
                <w:rFonts w:hint="eastAsia" w:ascii="华文仿宋" w:hAnsi="华文仿宋" w:eastAsia="华文仿宋" w:cs="华文仿宋"/>
                <w:i w:val="0"/>
                <w:iCs w:val="0"/>
                <w:color w:val="000000"/>
                <w:sz w:val="24"/>
                <w:szCs w:val="24"/>
                <w:u w:val="none"/>
              </w:rPr>
            </w:pPr>
          </w:p>
        </w:tc>
      </w:tr>
    </w:tbl>
    <w:p w14:paraId="3BAFF77C">
      <w:pPr>
        <w:spacing w:line="560" w:lineRule="exact"/>
        <w:ind w:firstLine="640" w:firstLineChars="200"/>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说明：①国家级体育竞赛指全国大学生运动会、全国大学生单项锦标赛等赛事。依据当年学校、学院的综合情况，结合专业学院的要求标准，由专家审核小组认定加分与否以及分值。同一类别比赛只记分一次。</w:t>
      </w:r>
      <w:r>
        <w:rPr>
          <w:rFonts w:hint="default" w:ascii="仿宋_GB2312" w:hAnsi="仿宋_GB2312" w:eastAsia="仿宋_GB2312" w:cs="仿宋_GB2312"/>
          <w:kern w:val="0"/>
          <w:sz w:val="32"/>
          <w:szCs w:val="32"/>
          <w:lang w:val="en-US" w:eastAsia="zh-CN"/>
        </w:rPr>
        <w:t>②</w:t>
      </w:r>
      <w:r>
        <w:rPr>
          <w:rFonts w:hint="eastAsia" w:ascii="仿宋_GB2312" w:hAnsi="仿宋_GB2312" w:eastAsia="仿宋_GB2312" w:cs="仿宋_GB2312"/>
          <w:kern w:val="0"/>
          <w:sz w:val="32"/>
          <w:szCs w:val="32"/>
          <w:lang w:val="en-US" w:eastAsia="zh-CN"/>
        </w:rPr>
        <w:t>国家级志愿服务获奖为中宣部、中央文明办、共青团中央等国家机关主办的“学雷锋志愿服务''四个 100'先进典型”、中国青年志愿者优秀个人奖、组织奖、项目奖等奖项。</w:t>
      </w:r>
    </w:p>
    <w:p w14:paraId="2C148643">
      <w:pPr>
        <w:spacing w:line="560" w:lineRule="exact"/>
        <w:ind w:firstLine="640" w:firstLineChars="200"/>
        <w:rPr>
          <w:rFonts w:hint="eastAsia" w:ascii="仿宋_GB2312" w:hAnsi="仿宋_GB2312" w:eastAsia="仿宋_GB2312" w:cs="仿宋_GB2312"/>
          <w:kern w:val="0"/>
          <w:sz w:val="32"/>
          <w:szCs w:val="32"/>
          <w:lang w:val="en-US" w:eastAsia="zh-CN"/>
        </w:rPr>
      </w:pPr>
    </w:p>
    <w:p w14:paraId="4831EE2D">
      <w:pPr>
        <w:spacing w:line="560" w:lineRule="exact"/>
        <w:ind w:firstLine="640" w:firstLineChars="200"/>
        <w:rPr>
          <w:rFonts w:hint="eastAsia" w:ascii="黑体" w:hAnsi="黑体" w:eastAsia="黑体" w:cs="黑体"/>
          <w:kern w:val="0"/>
          <w:sz w:val="32"/>
          <w:szCs w:val="32"/>
        </w:rPr>
      </w:pPr>
      <w:r>
        <w:rPr>
          <w:rFonts w:hint="eastAsia" w:ascii="黑体" w:hAnsi="黑体" w:eastAsia="黑体" w:cs="黑体"/>
          <w:kern w:val="0"/>
          <w:sz w:val="32"/>
          <w:szCs w:val="32"/>
        </w:rPr>
        <w:t>第五条 名额分配及推荐排序</w:t>
      </w:r>
    </w:p>
    <w:p w14:paraId="3E8B1B99">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各系推免生名额分配由学院推免工作小组确定。根据学校分配的名额，以各系内招应届在校生人数占全院内招应届在校生人数的比重为基础。</w:t>
      </w:r>
    </w:p>
    <w:p w14:paraId="79AEA1F5">
      <w:pPr>
        <w:widowControl/>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学院推免工作小组根据推免生名额分配情况，按照申请学生的综合评价成绩等，确定</w:t>
      </w:r>
      <w:r>
        <w:rPr>
          <w:rFonts w:hint="eastAsia" w:ascii="仿宋_GB2312" w:hAnsi="仿宋_GB2312" w:eastAsia="仿宋_GB2312" w:cs="仿宋_GB2312"/>
          <w:color w:val="000000"/>
          <w:kern w:val="0"/>
          <w:sz w:val="32"/>
          <w:szCs w:val="32"/>
          <w:lang w:bidi="ar"/>
        </w:rPr>
        <w:t>拟推荐名单和候补名单（候补人数不超过拟推荐人数的20%，候补名单排序即为推荐顺序）</w:t>
      </w:r>
      <w:r>
        <w:rPr>
          <w:rFonts w:hint="eastAsia" w:ascii="仿宋_GB2312" w:hAnsi="仿宋_GB2312" w:eastAsia="仿宋_GB2312" w:cs="仿宋_GB2312"/>
          <w:kern w:val="0"/>
          <w:sz w:val="32"/>
          <w:szCs w:val="32"/>
        </w:rPr>
        <w:t>。如有已获得推免资格的学生放弃推免资格，则在候补名单中顺延替补。</w:t>
      </w:r>
    </w:p>
    <w:p w14:paraId="3B882AFE">
      <w:pPr>
        <w:widowControl/>
        <w:spacing w:line="560" w:lineRule="exact"/>
        <w:ind w:firstLine="640" w:firstLineChars="200"/>
        <w:rPr>
          <w:rFonts w:hint="eastAsia" w:ascii="仿宋_GB2312" w:hAnsi="仿宋_GB2312" w:eastAsia="仿宋_GB2312" w:cs="仿宋_GB2312"/>
          <w:kern w:val="0"/>
          <w:sz w:val="32"/>
          <w:szCs w:val="32"/>
        </w:rPr>
      </w:pPr>
    </w:p>
    <w:p w14:paraId="71E616D5">
      <w:pPr>
        <w:spacing w:line="560" w:lineRule="exact"/>
        <w:ind w:firstLine="640" w:firstLineChars="200"/>
        <w:rPr>
          <w:rFonts w:hint="eastAsia" w:ascii="黑体" w:hAnsi="黑体" w:eastAsia="黑体" w:cs="黑体"/>
          <w:kern w:val="0"/>
          <w:sz w:val="32"/>
          <w:szCs w:val="32"/>
        </w:rPr>
      </w:pPr>
      <w:r>
        <w:rPr>
          <w:rFonts w:hint="eastAsia" w:ascii="黑体" w:hAnsi="黑体" w:eastAsia="黑体" w:cs="黑体"/>
          <w:kern w:val="0"/>
          <w:sz w:val="32"/>
          <w:szCs w:val="32"/>
        </w:rPr>
        <w:t>第六条 附则</w:t>
      </w:r>
    </w:p>
    <w:p w14:paraId="2306CAF0">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实行回避制度，推免工作相关人员有直系亲属或利益相关人员报名参加推免的，应主动申请回避；有非直系亲属等报名参加推免的，要主动报备。相关学生申请推免资格时也应主动向学校报备声明。对未按规定报备声明回避关系且影响推免过程和结果公平公正的，将取消该学生推免资格。</w:t>
      </w:r>
    </w:p>
    <w:p w14:paraId="56A41FD8">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2.学生应诚信参与推免工作，在评审过程中提供虚假材料的学生，一经查实，除取消推免资格外，还将依据校纪校规给予严肃处理。获得推免资格的学生应积极准备复试，按要求完成录取工作。</w:t>
      </w:r>
    </w:p>
    <w:p w14:paraId="71668652">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3.未尽事宜由学院推免工作小组集体讨论决定。</w:t>
      </w:r>
    </w:p>
    <w:p w14:paraId="053BE45D">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4.对推免生工作有异议的，可在公示期间向学院推免生工作小组提出书面申诉。</w:t>
      </w:r>
    </w:p>
    <w:p w14:paraId="65B47EE7">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5.本工作细则由学院推免工作小组负责解释。</w:t>
      </w:r>
    </w:p>
    <w:p w14:paraId="587549D2">
      <w:pPr>
        <w:spacing w:line="560" w:lineRule="exact"/>
        <w:rPr>
          <w:rFonts w:hint="eastAsia" w:ascii="仿宋_GB2312" w:hAnsi="仿宋_GB2312" w:eastAsia="仿宋_GB2312" w:cs="仿宋_GB2312"/>
          <w:kern w:val="0"/>
          <w:sz w:val="32"/>
          <w:szCs w:val="32"/>
        </w:rPr>
      </w:pPr>
    </w:p>
    <w:p w14:paraId="269DD854">
      <w:pPr>
        <w:spacing w:line="560" w:lineRule="exact"/>
        <w:ind w:firstLine="5440" w:firstLineChars="1700"/>
        <w:rPr>
          <w:rFonts w:hint="eastAsia" w:ascii="仿宋_GB2312" w:hAnsi="仿宋_GB2312" w:eastAsia="仿宋_GB2312" w:cs="仿宋_GB2312"/>
          <w:kern w:val="0"/>
          <w:sz w:val="32"/>
          <w:szCs w:val="32"/>
        </w:rPr>
      </w:pPr>
    </w:p>
    <w:p w14:paraId="1080DC98">
      <w:pPr>
        <w:spacing w:line="560" w:lineRule="exact"/>
        <w:ind w:firstLine="5440" w:firstLineChars="1700"/>
        <w:rPr>
          <w:rFonts w:hint="eastAsia" w:ascii="仿宋_GB2312" w:hAnsi="仿宋_GB2312" w:eastAsia="仿宋_GB2312" w:cs="仿宋_GB2312"/>
          <w:kern w:val="0"/>
          <w:sz w:val="32"/>
          <w:szCs w:val="32"/>
        </w:rPr>
      </w:pPr>
    </w:p>
    <w:p w14:paraId="3A9B7109">
      <w:pPr>
        <w:spacing w:line="560" w:lineRule="exact"/>
        <w:ind w:firstLine="5440" w:firstLineChars="1700"/>
      </w:pPr>
      <w:r>
        <w:rPr>
          <w:rFonts w:hint="eastAsia" w:ascii="仿宋_GB2312" w:hAnsi="仿宋_GB2312" w:eastAsia="仿宋_GB2312" w:cs="仿宋_GB2312"/>
          <w:kern w:val="0"/>
          <w:sz w:val="32"/>
          <w:szCs w:val="32"/>
        </w:rPr>
        <w:t>暨南大学经济学院</w:t>
      </w:r>
    </w:p>
    <w:p w14:paraId="784C3A7C">
      <w:pPr>
        <w:pStyle w:val="3"/>
        <w:spacing w:before="63" w:line="560" w:lineRule="exact"/>
        <w:ind w:firstLine="5440" w:firstLineChars="1700"/>
        <w:outlineLvl w:val="0"/>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2026年6月18日</w:t>
      </w:r>
    </w:p>
    <w:sectPr>
      <w:footerReference r:id="rId3" w:type="default"/>
      <w:pgSz w:w="11906" w:h="16838"/>
      <w:pgMar w:top="1440" w:right="1486"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AE56852-32F5-443F-A17B-77AE3DA882A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embedRegular r:id="rId2" w:fontKey="{C2200FCE-904D-4489-865C-827867DA38A0}"/>
  </w:font>
  <w:font w:name="仿宋_GB2312">
    <w:altName w:val="仿宋"/>
    <w:panose1 w:val="02010609030101010101"/>
    <w:charset w:val="86"/>
    <w:family w:val="modern"/>
    <w:pitch w:val="default"/>
    <w:sig w:usb0="00000001" w:usb1="080E0000" w:usb2="00000000" w:usb3="00000000" w:csb0="00040000" w:csb1="00000000"/>
    <w:embedRegular r:id="rId3" w:fontKey="{7DC38D6E-C652-4A0C-B2E1-4FA4FC42B35F}"/>
  </w:font>
  <w:font w:name="方正小标宋简体">
    <w:panose1 w:val="02000000000000000000"/>
    <w:charset w:val="86"/>
    <w:family w:val="auto"/>
    <w:pitch w:val="default"/>
    <w:sig w:usb0="00000001" w:usb1="08000000" w:usb2="00000000" w:usb3="00000000" w:csb0="00040000" w:csb1="00000000"/>
    <w:embedRegular r:id="rId4" w:fontKey="{30CF7155-BBD3-41F8-8619-58C5265E26BA}"/>
  </w:font>
  <w:font w:name="24">
    <w:altName w:val="FFont-Family"/>
    <w:panose1 w:val="00000000000000000000"/>
    <w:charset w:val="00"/>
    <w:family w:val="auto"/>
    <w:pitch w:val="default"/>
    <w:sig w:usb0="00000000" w:usb1="00000000" w:usb2="00000000" w:usb3="00000000" w:csb0="00000000" w:csb1="00000000"/>
    <w:embedRegular r:id="rId5" w:fontKey="{BDA29BD1-B14A-4A8C-A3C9-3ECBDAF8FC7B}"/>
  </w:font>
  <w:font w:name="FFont-Family">
    <w:panose1 w:val="02000509000000000000"/>
    <w:charset w:val="00"/>
    <w:family w:val="auto"/>
    <w:pitch w:val="default"/>
    <w:sig w:usb0="00000001" w:usb1="00000000" w:usb2="00000000" w:usb3="00000000" w:csb0="00000001" w:csb1="00000000"/>
  </w:font>
  <w:font w:name="华文仿宋">
    <w:panose1 w:val="02010600040101010101"/>
    <w:charset w:val="86"/>
    <w:family w:val="auto"/>
    <w:pitch w:val="default"/>
    <w:sig w:usb0="00000287" w:usb1="080F0000" w:usb2="00000000" w:usb3="00000000" w:csb0="0004009F" w:csb1="DFD70000"/>
    <w:embedRegular r:id="rId6" w:fontKey="{3B17DD54-2E66-4537-8114-CD3C74BA3775}"/>
  </w:font>
  <w:font w:name="WPSEMBED1">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62C088">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4C4D94">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74C4D94">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DA6ACF"/>
    <w:multiLevelType w:val="singleLevel"/>
    <w:tmpl w:val="78DA6ACF"/>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78728D"/>
    <w:rsid w:val="00045066"/>
    <w:rsid w:val="00110F8C"/>
    <w:rsid w:val="001B0079"/>
    <w:rsid w:val="001B2CE6"/>
    <w:rsid w:val="0023166A"/>
    <w:rsid w:val="002A7010"/>
    <w:rsid w:val="003B41A8"/>
    <w:rsid w:val="004117DA"/>
    <w:rsid w:val="00435249"/>
    <w:rsid w:val="00487ABF"/>
    <w:rsid w:val="005055C2"/>
    <w:rsid w:val="0051641E"/>
    <w:rsid w:val="00592A4B"/>
    <w:rsid w:val="005E773D"/>
    <w:rsid w:val="00656164"/>
    <w:rsid w:val="00694FB7"/>
    <w:rsid w:val="006F5244"/>
    <w:rsid w:val="0083120A"/>
    <w:rsid w:val="0085772D"/>
    <w:rsid w:val="00975C79"/>
    <w:rsid w:val="009E0E80"/>
    <w:rsid w:val="00A7198B"/>
    <w:rsid w:val="00B05AC7"/>
    <w:rsid w:val="00B65E31"/>
    <w:rsid w:val="00B83CB2"/>
    <w:rsid w:val="00C71C92"/>
    <w:rsid w:val="00CA3ADF"/>
    <w:rsid w:val="00CE12DA"/>
    <w:rsid w:val="00D15833"/>
    <w:rsid w:val="00D71E58"/>
    <w:rsid w:val="00E07B4B"/>
    <w:rsid w:val="00E63915"/>
    <w:rsid w:val="00FF7292"/>
    <w:rsid w:val="0103164E"/>
    <w:rsid w:val="014B08FF"/>
    <w:rsid w:val="015772A4"/>
    <w:rsid w:val="018D0F17"/>
    <w:rsid w:val="019E0B13"/>
    <w:rsid w:val="01DC15B7"/>
    <w:rsid w:val="01F74F86"/>
    <w:rsid w:val="02367C87"/>
    <w:rsid w:val="02C170CB"/>
    <w:rsid w:val="02F05262"/>
    <w:rsid w:val="03F9276D"/>
    <w:rsid w:val="04804BE5"/>
    <w:rsid w:val="04A10F62"/>
    <w:rsid w:val="04DF7CDC"/>
    <w:rsid w:val="04F217BD"/>
    <w:rsid w:val="057B2BAD"/>
    <w:rsid w:val="05B11678"/>
    <w:rsid w:val="05FB64DB"/>
    <w:rsid w:val="06173ED7"/>
    <w:rsid w:val="069B7C33"/>
    <w:rsid w:val="06B807E5"/>
    <w:rsid w:val="06F143A4"/>
    <w:rsid w:val="080D01F0"/>
    <w:rsid w:val="081D4B44"/>
    <w:rsid w:val="08FD204C"/>
    <w:rsid w:val="09061F4C"/>
    <w:rsid w:val="09E76F96"/>
    <w:rsid w:val="0B64718D"/>
    <w:rsid w:val="0B7C69C4"/>
    <w:rsid w:val="0B7F70D3"/>
    <w:rsid w:val="0C01164E"/>
    <w:rsid w:val="0D4032E2"/>
    <w:rsid w:val="0D6C40D7"/>
    <w:rsid w:val="0D984ECC"/>
    <w:rsid w:val="0E3746E5"/>
    <w:rsid w:val="0E9C279A"/>
    <w:rsid w:val="0EE303C9"/>
    <w:rsid w:val="12D270D2"/>
    <w:rsid w:val="131B6383"/>
    <w:rsid w:val="14171240"/>
    <w:rsid w:val="14904B4F"/>
    <w:rsid w:val="14DE58BA"/>
    <w:rsid w:val="152918B9"/>
    <w:rsid w:val="15A56870"/>
    <w:rsid w:val="15CC1BB7"/>
    <w:rsid w:val="15DA0777"/>
    <w:rsid w:val="15F62273"/>
    <w:rsid w:val="1612581A"/>
    <w:rsid w:val="16ED6288"/>
    <w:rsid w:val="18CE3C9C"/>
    <w:rsid w:val="19305C51"/>
    <w:rsid w:val="199E7D0E"/>
    <w:rsid w:val="1AB53561"/>
    <w:rsid w:val="1B1069E9"/>
    <w:rsid w:val="1B230E2F"/>
    <w:rsid w:val="1BF95511"/>
    <w:rsid w:val="1C2E35CB"/>
    <w:rsid w:val="1E696B3C"/>
    <w:rsid w:val="1EA47B74"/>
    <w:rsid w:val="1EE44415"/>
    <w:rsid w:val="1F7312F5"/>
    <w:rsid w:val="207D68CF"/>
    <w:rsid w:val="20823EE5"/>
    <w:rsid w:val="2099122F"/>
    <w:rsid w:val="209B4FA7"/>
    <w:rsid w:val="21751450"/>
    <w:rsid w:val="217B0148"/>
    <w:rsid w:val="21965F59"/>
    <w:rsid w:val="219E0EDD"/>
    <w:rsid w:val="21DC0B1A"/>
    <w:rsid w:val="21E94060"/>
    <w:rsid w:val="22B569E9"/>
    <w:rsid w:val="22DB168B"/>
    <w:rsid w:val="22E9024C"/>
    <w:rsid w:val="22F015DA"/>
    <w:rsid w:val="233F1C1A"/>
    <w:rsid w:val="237F470C"/>
    <w:rsid w:val="239C52BE"/>
    <w:rsid w:val="23A93537"/>
    <w:rsid w:val="241916C8"/>
    <w:rsid w:val="25237319"/>
    <w:rsid w:val="25553977"/>
    <w:rsid w:val="25A466AC"/>
    <w:rsid w:val="25CB59E7"/>
    <w:rsid w:val="25EB6089"/>
    <w:rsid w:val="25FC3974"/>
    <w:rsid w:val="279F2DBC"/>
    <w:rsid w:val="27C6290A"/>
    <w:rsid w:val="28133675"/>
    <w:rsid w:val="2865692D"/>
    <w:rsid w:val="2A2E7438"/>
    <w:rsid w:val="2C78728D"/>
    <w:rsid w:val="2C9F5E1F"/>
    <w:rsid w:val="2CCB09C2"/>
    <w:rsid w:val="2D46640B"/>
    <w:rsid w:val="2E5C3FC8"/>
    <w:rsid w:val="2F0401BB"/>
    <w:rsid w:val="2F1A7552"/>
    <w:rsid w:val="2FA554FB"/>
    <w:rsid w:val="30470360"/>
    <w:rsid w:val="306727B0"/>
    <w:rsid w:val="30712CAA"/>
    <w:rsid w:val="31327262"/>
    <w:rsid w:val="34022473"/>
    <w:rsid w:val="34B17679"/>
    <w:rsid w:val="34BB756E"/>
    <w:rsid w:val="35571045"/>
    <w:rsid w:val="359E2A0E"/>
    <w:rsid w:val="360A60B7"/>
    <w:rsid w:val="362D624A"/>
    <w:rsid w:val="36BB0BE6"/>
    <w:rsid w:val="37CE1367"/>
    <w:rsid w:val="381E22EE"/>
    <w:rsid w:val="387F0849"/>
    <w:rsid w:val="38922426"/>
    <w:rsid w:val="38AF1198"/>
    <w:rsid w:val="38F52C52"/>
    <w:rsid w:val="39F50E2C"/>
    <w:rsid w:val="3A401E02"/>
    <w:rsid w:val="3B506C62"/>
    <w:rsid w:val="3B677B08"/>
    <w:rsid w:val="3C9012E0"/>
    <w:rsid w:val="3D3103CE"/>
    <w:rsid w:val="3D934BE4"/>
    <w:rsid w:val="3E55633E"/>
    <w:rsid w:val="3E5F540E"/>
    <w:rsid w:val="3F3836B5"/>
    <w:rsid w:val="3FA7706D"/>
    <w:rsid w:val="405A7C3B"/>
    <w:rsid w:val="40866C82"/>
    <w:rsid w:val="420460B1"/>
    <w:rsid w:val="436D51AE"/>
    <w:rsid w:val="446D5677"/>
    <w:rsid w:val="44FF34A7"/>
    <w:rsid w:val="456559F2"/>
    <w:rsid w:val="45E873ED"/>
    <w:rsid w:val="46603AD2"/>
    <w:rsid w:val="4682613E"/>
    <w:rsid w:val="47460F19"/>
    <w:rsid w:val="4755115C"/>
    <w:rsid w:val="47E33329"/>
    <w:rsid w:val="497B77D3"/>
    <w:rsid w:val="49C32CF5"/>
    <w:rsid w:val="4AB639F5"/>
    <w:rsid w:val="4E2A7777"/>
    <w:rsid w:val="4E710F72"/>
    <w:rsid w:val="4E796078"/>
    <w:rsid w:val="4E946A0E"/>
    <w:rsid w:val="4EE07EA5"/>
    <w:rsid w:val="4FAC45CA"/>
    <w:rsid w:val="500424FB"/>
    <w:rsid w:val="508B5BEF"/>
    <w:rsid w:val="50BE7D72"/>
    <w:rsid w:val="50D47596"/>
    <w:rsid w:val="50EA6DB9"/>
    <w:rsid w:val="515D3A2F"/>
    <w:rsid w:val="515F1555"/>
    <w:rsid w:val="5233653E"/>
    <w:rsid w:val="534A3B3F"/>
    <w:rsid w:val="536A15F0"/>
    <w:rsid w:val="537B1F4B"/>
    <w:rsid w:val="545B714E"/>
    <w:rsid w:val="54C3004D"/>
    <w:rsid w:val="551408A9"/>
    <w:rsid w:val="55886BA1"/>
    <w:rsid w:val="55B1434A"/>
    <w:rsid w:val="56E524FD"/>
    <w:rsid w:val="576D604E"/>
    <w:rsid w:val="57F10A2D"/>
    <w:rsid w:val="583C631F"/>
    <w:rsid w:val="59101387"/>
    <w:rsid w:val="59A3044D"/>
    <w:rsid w:val="59EF3692"/>
    <w:rsid w:val="59FB5B93"/>
    <w:rsid w:val="5BCA169E"/>
    <w:rsid w:val="5BF94355"/>
    <w:rsid w:val="5C0C5724"/>
    <w:rsid w:val="5C942440"/>
    <w:rsid w:val="5D0D455B"/>
    <w:rsid w:val="5DD52177"/>
    <w:rsid w:val="5E5B2DF6"/>
    <w:rsid w:val="5E6919B2"/>
    <w:rsid w:val="5EA26F25"/>
    <w:rsid w:val="5ECB053E"/>
    <w:rsid w:val="5EE32B97"/>
    <w:rsid w:val="5F011E9E"/>
    <w:rsid w:val="5F69081A"/>
    <w:rsid w:val="601A6504"/>
    <w:rsid w:val="61110DB5"/>
    <w:rsid w:val="61120392"/>
    <w:rsid w:val="6180184A"/>
    <w:rsid w:val="61BD2E28"/>
    <w:rsid w:val="61C40F61"/>
    <w:rsid w:val="620D46B6"/>
    <w:rsid w:val="62330EBD"/>
    <w:rsid w:val="62A52B40"/>
    <w:rsid w:val="63750765"/>
    <w:rsid w:val="637B1AF3"/>
    <w:rsid w:val="63DC4C88"/>
    <w:rsid w:val="65057123"/>
    <w:rsid w:val="65CD59F4"/>
    <w:rsid w:val="678418BE"/>
    <w:rsid w:val="67960B80"/>
    <w:rsid w:val="68C65ED6"/>
    <w:rsid w:val="69CA7330"/>
    <w:rsid w:val="6A4875D9"/>
    <w:rsid w:val="6C661592"/>
    <w:rsid w:val="6CCB1259"/>
    <w:rsid w:val="6DE44E65"/>
    <w:rsid w:val="6E07795C"/>
    <w:rsid w:val="6E395072"/>
    <w:rsid w:val="6EEE7D32"/>
    <w:rsid w:val="6F222CC8"/>
    <w:rsid w:val="6F241291"/>
    <w:rsid w:val="700F5950"/>
    <w:rsid w:val="70125E9D"/>
    <w:rsid w:val="70736FE5"/>
    <w:rsid w:val="70967F6C"/>
    <w:rsid w:val="70C707C6"/>
    <w:rsid w:val="70D867D7"/>
    <w:rsid w:val="715A3F81"/>
    <w:rsid w:val="71A21D79"/>
    <w:rsid w:val="71A32941"/>
    <w:rsid w:val="72275320"/>
    <w:rsid w:val="731F4840"/>
    <w:rsid w:val="73FD7E26"/>
    <w:rsid w:val="76816FC9"/>
    <w:rsid w:val="76AA4771"/>
    <w:rsid w:val="76FC4082"/>
    <w:rsid w:val="772D4414"/>
    <w:rsid w:val="772E53A2"/>
    <w:rsid w:val="779937F4"/>
    <w:rsid w:val="78FE0CB9"/>
    <w:rsid w:val="7A08012D"/>
    <w:rsid w:val="7A5B64AE"/>
    <w:rsid w:val="7B034450"/>
    <w:rsid w:val="7B226FCC"/>
    <w:rsid w:val="7B963F4F"/>
    <w:rsid w:val="7C4F3DF1"/>
    <w:rsid w:val="7D3E3E65"/>
    <w:rsid w:val="7E05340D"/>
    <w:rsid w:val="7FEE5A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semiHidden/>
    <w:qFormat/>
    <w:uiPriority w:val="0"/>
    <w:rPr>
      <w:rFonts w:ascii="宋体" w:hAnsi="宋体" w:eastAsia="宋体" w:cs="宋体"/>
      <w:sz w:val="28"/>
      <w:szCs w:val="28"/>
      <w:lang w:eastAsia="en-US"/>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rFonts w:cs="Times New Roman"/>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customStyle="1" w:styleId="11">
    <w:name w:val="font21"/>
    <w:basedOn w:val="9"/>
    <w:qFormat/>
    <w:uiPriority w:val="0"/>
    <w:rPr>
      <w:rFonts w:hint="eastAsia" w:ascii="仿宋" w:hAnsi="仿宋" w:eastAsia="仿宋" w:cs="仿宋"/>
      <w:color w:val="000000"/>
      <w:sz w:val="24"/>
      <w:szCs w:val="24"/>
      <w:u w:val="none"/>
    </w:rPr>
  </w:style>
  <w:style w:type="character" w:customStyle="1" w:styleId="12">
    <w:name w:val="font31"/>
    <w:basedOn w:val="9"/>
    <w:qFormat/>
    <w:uiPriority w:val="0"/>
    <w:rPr>
      <w:rFonts w:hint="default" w:ascii="Times New Roman" w:hAnsi="Times New Roman" w:cs="Times New Roman"/>
      <w:color w:val="000000"/>
      <w:sz w:val="24"/>
      <w:szCs w:val="24"/>
      <w:u w:val="none"/>
    </w:rPr>
  </w:style>
  <w:style w:type="character" w:customStyle="1" w:styleId="13">
    <w:name w:val="font11"/>
    <w:basedOn w:val="9"/>
    <w:qFormat/>
    <w:uiPriority w:val="0"/>
    <w:rPr>
      <w:rFonts w:hint="eastAsia" w:ascii="仿宋_GB2312" w:eastAsia="仿宋_GB2312" w:cs="仿宋_GB2312"/>
      <w:color w:val="000000"/>
      <w:sz w:val="24"/>
      <w:szCs w:val="24"/>
      <w:u w:val="none"/>
    </w:rPr>
  </w:style>
  <w:style w:type="character" w:customStyle="1" w:styleId="14">
    <w:name w:val="font41"/>
    <w:basedOn w:val="9"/>
    <w:qFormat/>
    <w:uiPriority w:val="0"/>
    <w:rPr>
      <w:rFonts w:hint="default" w:ascii="Times New Roman" w:hAnsi="Times New Roman" w:cs="Times New Roman"/>
      <w:color w:val="000000"/>
      <w:sz w:val="24"/>
      <w:szCs w:val="24"/>
      <w:u w:val="none"/>
    </w:rPr>
  </w:style>
  <w:style w:type="character" w:customStyle="1" w:styleId="15">
    <w:name w:val="font51"/>
    <w:basedOn w:val="9"/>
    <w:qFormat/>
    <w:uiPriority w:val="0"/>
    <w:rPr>
      <w:rFonts w:hint="eastAsia" w:ascii="仿宋" w:hAnsi="仿宋" w:eastAsia="仿宋" w:cs="仿宋"/>
      <w:color w:val="FF0000"/>
      <w:sz w:val="24"/>
      <w:szCs w:val="24"/>
      <w:u w:val="none"/>
    </w:rPr>
  </w:style>
  <w:style w:type="character" w:styleId="16">
    <w:name w:val="Placeholder Text"/>
    <w:basedOn w:val="9"/>
    <w:unhideWhenUsed/>
    <w:qFormat/>
    <w:uiPriority w:val="99"/>
    <w:rPr>
      <w:color w:val="666666"/>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04F694A-C927-4395-91CC-194C5B4E5B8C}">
  <ds:schemaRefs/>
</ds:datastoreItem>
</file>

<file path=docProps/app.xml><?xml version="1.0" encoding="utf-8"?>
<Properties xmlns="http://schemas.openxmlformats.org/officeDocument/2006/extended-properties" xmlns:vt="http://schemas.openxmlformats.org/officeDocument/2006/docPropsVTypes">
  <Template>Normal</Template>
  <Pages>7</Pages>
  <Words>2952</Words>
  <Characters>3080</Characters>
  <Lines>22</Lines>
  <Paragraphs>6</Paragraphs>
  <TotalTime>142</TotalTime>
  <ScaleCrop>false</ScaleCrop>
  <LinksUpToDate>false</LinksUpToDate>
  <CharactersWithSpaces>3093</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2026-06-17T15:13:00Z</dcterms:created>
  <dc:creator>佳</dc:creator>
  <cp:lastModifiedBy>艺竺</cp:lastModifiedBy>
  <cp:lastPrinted>2026-06-12T12:31:00Z</cp:lastPrinted>
  <dcterms:modified xsi:type="dcterms:W3CDTF">2026-06-26T07:46:45Z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311ECC6424B6480ABBB18A83B6394029_13</vt:lpwstr>
  </property>
  <property fmtid="{D5CDD505-2E9C-101B-9397-08002B2CF9AE}" pid="4" name="KSOTemplateDocerSaveRecord">
    <vt:lpwstr>eyJoZGlkIjoiMDc3OTU5ZDYwMTExNTEyNTYzZDAyNzk5MTQ2MDEyNzUiLCJ1c2VySWQiOiI2NTg0NDU5NTAifQ==</vt:lpwstr>
  </property>
</Properties>
</file>